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21"/>
        <w:tblW w:w="15296" w:type="dxa"/>
        <w:tblLook w:val="04A0" w:firstRow="1" w:lastRow="0" w:firstColumn="1" w:lastColumn="0" w:noHBand="0" w:noVBand="1"/>
      </w:tblPr>
      <w:tblGrid>
        <w:gridCol w:w="2639"/>
        <w:gridCol w:w="4502"/>
        <w:gridCol w:w="3216"/>
        <w:gridCol w:w="2315"/>
        <w:gridCol w:w="2624"/>
      </w:tblGrid>
      <w:tr w:rsidR="00014EC1" w:rsidRPr="005433CE" w14:paraId="33E9D541" w14:textId="77777777" w:rsidTr="00014EC1">
        <w:trPr>
          <w:trHeight w:val="131"/>
        </w:trPr>
        <w:tc>
          <w:tcPr>
            <w:tcW w:w="1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9E8" w14:textId="77777777" w:rsidR="00014EC1" w:rsidRPr="005433CE" w:rsidRDefault="00014EC1" w:rsidP="00014EC1">
            <w:bookmarkStart w:id="0" w:name="_Hlk118368459"/>
            <w:r w:rsidRPr="005433CE">
              <w:rPr>
                <w:b/>
              </w:rPr>
              <w:t>WDES Action Plan, 2022-2023</w:t>
            </w:r>
          </w:p>
        </w:tc>
      </w:tr>
      <w:tr w:rsidR="00014EC1" w:rsidRPr="005433CE" w14:paraId="18E8EBA7" w14:textId="77777777" w:rsidTr="00014EC1">
        <w:trPr>
          <w:trHeight w:val="19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EA3" w14:textId="77777777" w:rsidR="00014EC1" w:rsidRPr="005433CE" w:rsidRDefault="00014EC1" w:rsidP="00014EC1">
            <w:pPr>
              <w:rPr>
                <w:b/>
              </w:rPr>
            </w:pPr>
            <w:r w:rsidRPr="005433CE">
              <w:rPr>
                <w:b/>
              </w:rPr>
              <w:t>Measure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BCC2" w14:textId="77777777" w:rsidR="00014EC1" w:rsidRPr="005433CE" w:rsidRDefault="00014EC1" w:rsidP="00014EC1">
            <w:pPr>
              <w:rPr>
                <w:b/>
              </w:rPr>
            </w:pPr>
            <w:r w:rsidRPr="005433CE">
              <w:rPr>
                <w:b/>
              </w:rPr>
              <w:t>Area of development / Action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1446" w14:textId="437BE027" w:rsidR="00014EC1" w:rsidRPr="005433CE" w:rsidRDefault="00014EC1" w:rsidP="00014EC1">
            <w:pPr>
              <w:rPr>
                <w:b/>
              </w:rPr>
            </w:pPr>
            <w:r w:rsidRPr="005433CE">
              <w:rPr>
                <w:b/>
              </w:rPr>
              <w:t>Impact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AB4E" w14:textId="77777777" w:rsidR="00014EC1" w:rsidRPr="005433CE" w:rsidRDefault="00014EC1" w:rsidP="00014EC1">
            <w:pPr>
              <w:rPr>
                <w:b/>
              </w:rPr>
            </w:pPr>
            <w:r w:rsidRPr="005433CE">
              <w:rPr>
                <w:b/>
              </w:rPr>
              <w:t>Timescale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9C11" w14:textId="77777777" w:rsidR="00014EC1" w:rsidRPr="005433CE" w:rsidRDefault="00014EC1" w:rsidP="00014EC1">
            <w:pPr>
              <w:rPr>
                <w:b/>
              </w:rPr>
            </w:pPr>
            <w:r w:rsidRPr="005433CE">
              <w:rPr>
                <w:b/>
              </w:rPr>
              <w:t>Lead</w:t>
            </w:r>
          </w:p>
        </w:tc>
      </w:tr>
      <w:tr w:rsidR="00014EC1" w:rsidRPr="005433CE" w14:paraId="3E504B90" w14:textId="77777777" w:rsidTr="00CC1502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DA9" w14:textId="77777777" w:rsidR="00014EC1" w:rsidRDefault="00014EC1" w:rsidP="00014EC1">
            <w:pPr>
              <w:rPr>
                <w:bCs/>
              </w:rPr>
            </w:pPr>
            <w:bookmarkStart w:id="1" w:name="_Hlk118368492"/>
            <w:bookmarkEnd w:id="0"/>
          </w:p>
          <w:p w14:paraId="6F48DDFE" w14:textId="7FEC54D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 xml:space="preserve">Metric 1 - </w:t>
            </w:r>
          </w:p>
          <w:p w14:paraId="59794DDC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Leadership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BCE" w14:textId="77777777" w:rsidR="00014EC1" w:rsidRDefault="00014EC1" w:rsidP="00014EC1"/>
          <w:p w14:paraId="0C8EC29D" w14:textId="479BB21E" w:rsidR="00014EC1" w:rsidRDefault="00014EC1" w:rsidP="00014EC1">
            <w:r>
              <w:t>We will:</w:t>
            </w:r>
          </w:p>
          <w:p w14:paraId="5BCCBB8E" w14:textId="77777777" w:rsidR="00014EC1" w:rsidRDefault="00014EC1" w:rsidP="00014EC1"/>
          <w:p w14:paraId="58440B1B" w14:textId="77777777" w:rsidR="00014EC1" w:rsidRDefault="00014EC1" w:rsidP="00014EC1">
            <w:r w:rsidRPr="00F42A37">
              <w:t>Organise a communications campaign to encourage and support staff to complete or update their diversity information on ESR</w:t>
            </w:r>
          </w:p>
          <w:p w14:paraId="456AE074" w14:textId="77777777" w:rsidR="00014EC1" w:rsidRDefault="00014EC1" w:rsidP="00014EC1"/>
          <w:p w14:paraId="30318D38" w14:textId="77777777" w:rsidR="00014EC1" w:rsidRDefault="00014EC1" w:rsidP="00014EC1"/>
          <w:p w14:paraId="78037754" w14:textId="77777777" w:rsidR="00014EC1" w:rsidRDefault="00014EC1" w:rsidP="00014EC1">
            <w:r>
              <w:t>Continue with analysis and reporting of job applications received, shortlisted and appointed, by disability status, as required by the EDI Board</w:t>
            </w:r>
          </w:p>
          <w:p w14:paraId="5328A78F" w14:textId="77777777" w:rsidR="00014EC1" w:rsidRDefault="00014EC1" w:rsidP="00014EC1"/>
          <w:p w14:paraId="59B0E7EC" w14:textId="77777777" w:rsidR="00014EC1" w:rsidRDefault="00014EC1" w:rsidP="00014EC1">
            <w:r>
              <w:t>Continue organising and promoting future cohorts of the Reciprocal Mentoring Programme during the year</w:t>
            </w:r>
          </w:p>
          <w:p w14:paraId="72BE33CE" w14:textId="3D09EADE" w:rsidR="00014EC1" w:rsidRDefault="00014EC1" w:rsidP="00014EC1"/>
          <w:p w14:paraId="40841D31" w14:textId="77777777" w:rsidR="00014EC1" w:rsidRDefault="00014EC1" w:rsidP="00014EC1"/>
          <w:p w14:paraId="789FCF1B" w14:textId="77777777" w:rsidR="00014EC1" w:rsidRDefault="00014EC1" w:rsidP="00014EC1">
            <w:r>
              <w:t xml:space="preserve">Engage with </w:t>
            </w:r>
            <w:proofErr w:type="spellStart"/>
            <w:r>
              <w:t>SthAbility</w:t>
            </w:r>
            <w:proofErr w:type="spellEnd"/>
            <w:r>
              <w:t xml:space="preserve"> and LEAD Managers’ Forum to promote leadership potential across the Trust</w:t>
            </w:r>
          </w:p>
          <w:p w14:paraId="25D92C95" w14:textId="77777777" w:rsidR="00014EC1" w:rsidRDefault="00014EC1" w:rsidP="00014EC1"/>
          <w:p w14:paraId="179007A7" w14:textId="77777777" w:rsidR="00014EC1" w:rsidRDefault="00014EC1" w:rsidP="00014EC1"/>
          <w:p w14:paraId="0B825C00" w14:textId="77777777" w:rsidR="00014EC1" w:rsidRDefault="00014EC1" w:rsidP="00014EC1">
            <w:r>
              <w:t>Build on and promote the deaf awareness and introduction to British Sign Language training already delivered</w:t>
            </w:r>
          </w:p>
          <w:p w14:paraId="231026AC" w14:textId="77777777" w:rsidR="00014EC1" w:rsidRDefault="00014EC1" w:rsidP="00014EC1"/>
          <w:p w14:paraId="3DA85094" w14:textId="77777777" w:rsidR="00014EC1" w:rsidRDefault="00014EC1" w:rsidP="00014EC1">
            <w:r>
              <w:t>Build on and promote the dyslexia assessment training recently delivered</w:t>
            </w:r>
          </w:p>
          <w:p w14:paraId="7D280B2A" w14:textId="77777777" w:rsidR="00014EC1" w:rsidRDefault="00014EC1" w:rsidP="00014EC1"/>
          <w:p w14:paraId="04413C74" w14:textId="77777777" w:rsidR="00014EC1" w:rsidRDefault="00014EC1" w:rsidP="00014EC1"/>
          <w:p w14:paraId="7F53CE15" w14:textId="77777777" w:rsidR="00014EC1" w:rsidRDefault="00014EC1" w:rsidP="00014EC1">
            <w:r>
              <w:lastRenderedPageBreak/>
              <w:t>Meet the established targets to increase representation of staff with disabilities (19%) in all leadership and management development programmes</w:t>
            </w:r>
          </w:p>
          <w:p w14:paraId="2FABC7F8" w14:textId="799FB79C" w:rsidR="00B62AA6" w:rsidRPr="00014EC1" w:rsidRDefault="00B62AA6" w:rsidP="00014EC1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9FC" w14:textId="77777777" w:rsidR="00014EC1" w:rsidRDefault="00014EC1" w:rsidP="00014EC1"/>
          <w:p w14:paraId="6FFDACBD" w14:textId="7E8AAEAE" w:rsidR="00014EC1" w:rsidRDefault="00014EC1" w:rsidP="00014EC1"/>
          <w:p w14:paraId="295C490A" w14:textId="77777777" w:rsidR="00014EC1" w:rsidRDefault="00014EC1" w:rsidP="00014EC1"/>
          <w:p w14:paraId="71D8D0E2" w14:textId="77777777" w:rsidR="00014EC1" w:rsidRDefault="00014EC1" w:rsidP="00014EC1">
            <w:r>
              <w:t>Improves data quality and engagement with staff who have a disability / disabilities / long term condition(s)</w:t>
            </w:r>
          </w:p>
          <w:p w14:paraId="25D2629E" w14:textId="1440C35D" w:rsidR="00014EC1" w:rsidRDefault="00014EC1" w:rsidP="00014EC1"/>
          <w:p w14:paraId="139370AC" w14:textId="77777777" w:rsidR="00014EC1" w:rsidRDefault="00014EC1" w:rsidP="00014EC1"/>
          <w:p w14:paraId="131E0C43" w14:textId="77777777" w:rsidR="00014EC1" w:rsidRDefault="00014EC1" w:rsidP="00014EC1">
            <w:r>
              <w:t>Improves data quality that enables remedial action to be planned if required</w:t>
            </w:r>
          </w:p>
          <w:p w14:paraId="79AB1079" w14:textId="77777777" w:rsidR="00014EC1" w:rsidRDefault="00014EC1" w:rsidP="00014EC1"/>
          <w:p w14:paraId="658AD104" w14:textId="77777777" w:rsidR="00014EC1" w:rsidRDefault="00014EC1" w:rsidP="00014EC1">
            <w:r>
              <w:t>Improves awareness and understanding of ‘disability’ and the issues encountered by people with disabilities</w:t>
            </w:r>
          </w:p>
          <w:p w14:paraId="19818443" w14:textId="77777777" w:rsidR="00014EC1" w:rsidRDefault="00014EC1" w:rsidP="00014EC1"/>
          <w:p w14:paraId="18BBB0D8" w14:textId="77777777" w:rsidR="00014EC1" w:rsidRDefault="00014EC1" w:rsidP="00014EC1"/>
          <w:p w14:paraId="737C1247" w14:textId="77777777" w:rsidR="00014EC1" w:rsidRDefault="00014EC1" w:rsidP="00014EC1">
            <w:r>
              <w:t>Develops confidence and belief around the disability agenda</w:t>
            </w:r>
          </w:p>
          <w:p w14:paraId="79D61664" w14:textId="77777777" w:rsidR="00014EC1" w:rsidRDefault="00014EC1" w:rsidP="00014EC1"/>
          <w:p w14:paraId="2525EA0C" w14:textId="77777777" w:rsidR="00014EC1" w:rsidRDefault="00014EC1" w:rsidP="00014EC1"/>
          <w:p w14:paraId="3A90A19B" w14:textId="77777777" w:rsidR="00014EC1" w:rsidRDefault="00014EC1" w:rsidP="00014EC1"/>
          <w:p w14:paraId="59948994" w14:textId="77777777" w:rsidR="00014EC1" w:rsidRDefault="00014EC1" w:rsidP="00014EC1">
            <w:r>
              <w:t>Positive engagement with people who are hearing impaired</w:t>
            </w:r>
          </w:p>
          <w:p w14:paraId="326EDD8A" w14:textId="77777777" w:rsidR="00014EC1" w:rsidRDefault="00014EC1" w:rsidP="00014EC1"/>
          <w:p w14:paraId="44B01CDD" w14:textId="77777777" w:rsidR="00014EC1" w:rsidRDefault="00014EC1" w:rsidP="00014EC1">
            <w:r>
              <w:t>Ensures that people who are or may be dyslexic receive timely dyslexia assessments</w:t>
            </w:r>
          </w:p>
          <w:p w14:paraId="33502074" w14:textId="0315574B" w:rsidR="00014EC1" w:rsidRDefault="00014EC1" w:rsidP="00014EC1"/>
          <w:p w14:paraId="64C27CF6" w14:textId="32A3DCF5" w:rsidR="00014EC1" w:rsidRDefault="00014EC1" w:rsidP="00014EC1"/>
          <w:p w14:paraId="5360652A" w14:textId="77777777" w:rsidR="00014EC1" w:rsidRDefault="00014EC1" w:rsidP="00014EC1"/>
          <w:p w14:paraId="42D2455B" w14:textId="44498888" w:rsidR="00014EC1" w:rsidRDefault="00014EC1" w:rsidP="00014EC1">
            <w:r>
              <w:t>Increases confidence in systems and raises awareness</w:t>
            </w:r>
          </w:p>
          <w:p w14:paraId="17BB964B" w14:textId="77777777" w:rsidR="00014EC1" w:rsidRPr="005433CE" w:rsidRDefault="00014EC1" w:rsidP="00014E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3BF" w14:textId="77777777" w:rsidR="00014EC1" w:rsidRDefault="00014EC1" w:rsidP="00014EC1"/>
          <w:p w14:paraId="0B421838" w14:textId="546AD9FA" w:rsidR="00014EC1" w:rsidRDefault="00014EC1" w:rsidP="00014EC1"/>
          <w:p w14:paraId="22392164" w14:textId="77777777" w:rsidR="00014EC1" w:rsidRDefault="00014EC1" w:rsidP="00014EC1"/>
          <w:p w14:paraId="606A48E9" w14:textId="687C07E8" w:rsidR="00014EC1" w:rsidRDefault="00014EC1" w:rsidP="00014EC1"/>
          <w:p w14:paraId="79483362" w14:textId="77777777" w:rsidR="00014EC1" w:rsidRDefault="00014EC1" w:rsidP="00014EC1"/>
          <w:p w14:paraId="01A7C7CE" w14:textId="77777777" w:rsidR="00014EC1" w:rsidRDefault="00014EC1" w:rsidP="00014EC1"/>
          <w:p w14:paraId="1CA8EACD" w14:textId="77777777" w:rsidR="00014EC1" w:rsidRDefault="00014EC1" w:rsidP="00014EC1">
            <w:r>
              <w:t>October 22</w:t>
            </w:r>
          </w:p>
          <w:p w14:paraId="17448076" w14:textId="77777777" w:rsidR="00014EC1" w:rsidRDefault="00014EC1" w:rsidP="00014EC1"/>
          <w:p w14:paraId="3A00E082" w14:textId="4D3170C2" w:rsidR="00014EC1" w:rsidRDefault="00014EC1" w:rsidP="00014EC1"/>
          <w:p w14:paraId="7CBFAAEC" w14:textId="77777777" w:rsidR="00B62AA6" w:rsidRDefault="00B62AA6" w:rsidP="00014EC1"/>
          <w:p w14:paraId="46BF4A6A" w14:textId="77777777" w:rsidR="00014EC1" w:rsidRDefault="00014EC1" w:rsidP="00014EC1">
            <w:r>
              <w:t>September 22 and ongoing</w:t>
            </w:r>
          </w:p>
          <w:p w14:paraId="3396AF0F" w14:textId="77777777" w:rsidR="00014EC1" w:rsidRDefault="00014EC1" w:rsidP="00014EC1"/>
          <w:p w14:paraId="36C6912A" w14:textId="77777777" w:rsidR="00014EC1" w:rsidRDefault="00014EC1" w:rsidP="00014EC1"/>
          <w:p w14:paraId="7ABBD35E" w14:textId="3774E917" w:rsidR="00014EC1" w:rsidRDefault="00014EC1" w:rsidP="00014EC1"/>
          <w:p w14:paraId="12A8B88F" w14:textId="77777777" w:rsidR="00014EC1" w:rsidRDefault="00014EC1" w:rsidP="00014EC1">
            <w:r>
              <w:t>September 22 to March 23</w:t>
            </w:r>
          </w:p>
          <w:p w14:paraId="6DBCFFB7" w14:textId="77777777" w:rsidR="00014EC1" w:rsidRDefault="00014EC1" w:rsidP="00014EC1"/>
          <w:p w14:paraId="06AB1169" w14:textId="4DBBF9F6" w:rsidR="00014EC1" w:rsidRDefault="00014EC1" w:rsidP="00014EC1"/>
          <w:p w14:paraId="3F713619" w14:textId="77777777" w:rsidR="00B62AA6" w:rsidRDefault="00B62AA6" w:rsidP="00014EC1"/>
          <w:p w14:paraId="656A4A9C" w14:textId="77777777" w:rsidR="00014EC1" w:rsidRDefault="00014EC1" w:rsidP="00014EC1">
            <w:r>
              <w:t>ongoing</w:t>
            </w:r>
          </w:p>
          <w:p w14:paraId="39BD3F34" w14:textId="77777777" w:rsidR="00014EC1" w:rsidRDefault="00014EC1" w:rsidP="00014EC1"/>
          <w:p w14:paraId="2C2E8363" w14:textId="77777777" w:rsidR="00014EC1" w:rsidRDefault="00014EC1" w:rsidP="00014EC1"/>
          <w:p w14:paraId="0F732A1C" w14:textId="77777777" w:rsidR="00014EC1" w:rsidRDefault="00014EC1" w:rsidP="00014EC1"/>
          <w:p w14:paraId="5023300A" w14:textId="77777777" w:rsidR="00014EC1" w:rsidRDefault="00014EC1" w:rsidP="00014EC1"/>
          <w:p w14:paraId="70F6CE7D" w14:textId="77777777" w:rsidR="00014EC1" w:rsidRDefault="00014EC1" w:rsidP="00014EC1">
            <w:r>
              <w:t>April 2022 and ongoing</w:t>
            </w:r>
          </w:p>
          <w:p w14:paraId="475C8FF7" w14:textId="77777777" w:rsidR="00014EC1" w:rsidRDefault="00014EC1" w:rsidP="00014EC1"/>
          <w:p w14:paraId="450BC8A1" w14:textId="77777777" w:rsidR="00014EC1" w:rsidRDefault="00014EC1" w:rsidP="00014EC1"/>
          <w:p w14:paraId="701C906B" w14:textId="77777777" w:rsidR="00014EC1" w:rsidRDefault="00014EC1" w:rsidP="00014EC1"/>
          <w:p w14:paraId="12DD4119" w14:textId="77777777" w:rsidR="00014EC1" w:rsidRDefault="00014EC1" w:rsidP="00014EC1">
            <w:r>
              <w:t>April 2022 and ongoing</w:t>
            </w:r>
          </w:p>
          <w:p w14:paraId="4D172908" w14:textId="77777777" w:rsidR="00014EC1" w:rsidRDefault="00014EC1" w:rsidP="00014EC1"/>
          <w:p w14:paraId="0C8E06A7" w14:textId="77777777" w:rsidR="00014EC1" w:rsidRDefault="00014EC1" w:rsidP="00014EC1"/>
          <w:p w14:paraId="3FA1F9FA" w14:textId="2760B2C6" w:rsidR="00014EC1" w:rsidRDefault="00014EC1" w:rsidP="00014EC1"/>
          <w:p w14:paraId="43B724D4" w14:textId="77777777" w:rsidR="00014EC1" w:rsidRDefault="00014EC1" w:rsidP="00014EC1"/>
          <w:p w14:paraId="466894E7" w14:textId="54079F6C" w:rsidR="00014EC1" w:rsidRDefault="00014EC1" w:rsidP="00014EC1">
            <w:r>
              <w:t>April 2022 and ongoing</w:t>
            </w:r>
          </w:p>
          <w:p w14:paraId="35253C95" w14:textId="77777777" w:rsidR="00014EC1" w:rsidRPr="005433CE" w:rsidRDefault="00014EC1" w:rsidP="00014EC1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1B9" w14:textId="77777777" w:rsidR="00014EC1" w:rsidRDefault="00014EC1" w:rsidP="00014EC1"/>
          <w:p w14:paraId="29F33EFE" w14:textId="04C2BD71" w:rsidR="00014EC1" w:rsidRDefault="00014EC1" w:rsidP="00014EC1"/>
          <w:p w14:paraId="3DEA4FCC" w14:textId="77777777" w:rsidR="00014EC1" w:rsidRDefault="00014EC1" w:rsidP="00014EC1"/>
          <w:p w14:paraId="73C4689E" w14:textId="61E82A37" w:rsidR="00014EC1" w:rsidRDefault="00014EC1" w:rsidP="00014EC1"/>
          <w:p w14:paraId="22A86450" w14:textId="311D0CDB" w:rsidR="00014EC1" w:rsidRDefault="00014EC1" w:rsidP="00014EC1"/>
          <w:p w14:paraId="42830573" w14:textId="77777777" w:rsidR="00014EC1" w:rsidRDefault="00014EC1" w:rsidP="00014EC1"/>
          <w:p w14:paraId="50EE6724" w14:textId="77777777" w:rsidR="00014EC1" w:rsidRDefault="00014EC1" w:rsidP="00014EC1">
            <w:r>
              <w:t>HR</w:t>
            </w:r>
          </w:p>
          <w:p w14:paraId="64F79FBA" w14:textId="77777777" w:rsidR="00014EC1" w:rsidRDefault="00014EC1" w:rsidP="00014EC1"/>
          <w:p w14:paraId="0AB77FA3" w14:textId="77777777" w:rsidR="00014EC1" w:rsidRDefault="00014EC1" w:rsidP="00014EC1"/>
          <w:p w14:paraId="1BE9899E" w14:textId="1DF18898" w:rsidR="00014EC1" w:rsidRDefault="00014EC1" w:rsidP="00014EC1"/>
          <w:p w14:paraId="5611FAAC" w14:textId="77777777" w:rsidR="00B62AA6" w:rsidRDefault="00B62AA6" w:rsidP="00014EC1"/>
          <w:p w14:paraId="69512A5E" w14:textId="77777777" w:rsidR="00014EC1" w:rsidRDefault="00014EC1" w:rsidP="00014EC1">
            <w:r>
              <w:t>HR</w:t>
            </w:r>
          </w:p>
          <w:p w14:paraId="69D34C49" w14:textId="77777777" w:rsidR="00014EC1" w:rsidRDefault="00014EC1" w:rsidP="00014EC1"/>
          <w:p w14:paraId="6A227B30" w14:textId="77777777" w:rsidR="00014EC1" w:rsidRDefault="00014EC1" w:rsidP="00014EC1"/>
          <w:p w14:paraId="47DCC524" w14:textId="77777777" w:rsidR="00014EC1" w:rsidRDefault="00014EC1" w:rsidP="00014EC1"/>
          <w:p w14:paraId="28B18361" w14:textId="77777777" w:rsidR="00014EC1" w:rsidRDefault="00014EC1" w:rsidP="00014EC1"/>
          <w:p w14:paraId="0B8433C5" w14:textId="77777777" w:rsidR="00014EC1" w:rsidRDefault="00014EC1" w:rsidP="00014EC1">
            <w:r>
              <w:t xml:space="preserve">ODD EDI </w:t>
            </w:r>
          </w:p>
          <w:p w14:paraId="69C2C489" w14:textId="75352DDA" w:rsidR="00014EC1" w:rsidRDefault="00014EC1" w:rsidP="00014EC1"/>
          <w:p w14:paraId="142CFD0F" w14:textId="77777777" w:rsidR="00B62AA6" w:rsidRDefault="00B62AA6" w:rsidP="00014EC1"/>
          <w:p w14:paraId="046ACB57" w14:textId="1CCB4A71" w:rsidR="00014EC1" w:rsidRDefault="00014EC1" w:rsidP="00014EC1">
            <w:r>
              <w:t>ODD EDI / LMD and Chair of S</w:t>
            </w:r>
            <w:r>
              <w:t>TH</w:t>
            </w:r>
            <w:r>
              <w:t>Ability</w:t>
            </w:r>
          </w:p>
          <w:p w14:paraId="10077CAF" w14:textId="77777777" w:rsidR="00014EC1" w:rsidRDefault="00014EC1" w:rsidP="00014EC1"/>
          <w:p w14:paraId="0A470245" w14:textId="77777777" w:rsidR="00014EC1" w:rsidRDefault="00014EC1" w:rsidP="00014EC1"/>
          <w:p w14:paraId="612EC97C" w14:textId="1CF4DB7A" w:rsidR="00014EC1" w:rsidRDefault="00014EC1" w:rsidP="00014EC1"/>
          <w:p w14:paraId="7894A58B" w14:textId="77777777" w:rsidR="00B62AA6" w:rsidRDefault="00B62AA6" w:rsidP="00014EC1"/>
          <w:p w14:paraId="5AF491A2" w14:textId="77777777" w:rsidR="00014EC1" w:rsidRDefault="00014EC1" w:rsidP="00014EC1">
            <w:r>
              <w:t xml:space="preserve">ODD EDI </w:t>
            </w:r>
          </w:p>
          <w:p w14:paraId="7383C9CB" w14:textId="77777777" w:rsidR="00014EC1" w:rsidRDefault="00014EC1" w:rsidP="00014EC1"/>
          <w:p w14:paraId="21E157B3" w14:textId="77777777" w:rsidR="00014EC1" w:rsidRDefault="00014EC1" w:rsidP="00014EC1"/>
          <w:p w14:paraId="5CEE37AE" w14:textId="77777777" w:rsidR="00014EC1" w:rsidRDefault="00014EC1" w:rsidP="00014EC1"/>
          <w:p w14:paraId="39DAFD41" w14:textId="77777777" w:rsidR="00014EC1" w:rsidRDefault="00014EC1" w:rsidP="00014EC1">
            <w:r>
              <w:t xml:space="preserve">ODD EDI </w:t>
            </w:r>
          </w:p>
          <w:p w14:paraId="213287CC" w14:textId="77777777" w:rsidR="00014EC1" w:rsidRDefault="00014EC1" w:rsidP="00014EC1"/>
          <w:p w14:paraId="2A906724" w14:textId="77777777" w:rsidR="00014EC1" w:rsidRDefault="00014EC1" w:rsidP="00014EC1"/>
          <w:p w14:paraId="00D1953E" w14:textId="640CBD1E" w:rsidR="00014EC1" w:rsidRDefault="00014EC1" w:rsidP="00014EC1"/>
          <w:p w14:paraId="57C01B83" w14:textId="77777777" w:rsidR="00014EC1" w:rsidRDefault="00014EC1" w:rsidP="00014EC1"/>
          <w:p w14:paraId="035711BE" w14:textId="591483E9" w:rsidR="00014EC1" w:rsidRPr="005433CE" w:rsidRDefault="00014EC1" w:rsidP="00014EC1">
            <w:r>
              <w:t>ODD EDI / LMD</w:t>
            </w:r>
          </w:p>
        </w:tc>
      </w:tr>
      <w:tr w:rsidR="00014EC1" w:rsidRPr="005433CE" w14:paraId="1071F57E" w14:textId="77777777" w:rsidTr="00CC1502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B8BA" w14:textId="77777777" w:rsidR="00014EC1" w:rsidRDefault="00014EC1" w:rsidP="00014EC1">
            <w:pPr>
              <w:rPr>
                <w:bCs/>
              </w:rPr>
            </w:pPr>
            <w:bookmarkStart w:id="2" w:name="_Hlk118368563"/>
            <w:bookmarkEnd w:id="1"/>
          </w:p>
          <w:p w14:paraId="3E0E70E4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 xml:space="preserve">Metric 2 - </w:t>
            </w:r>
          </w:p>
          <w:p w14:paraId="4B0DB2F2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Recruitment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8C4" w14:textId="77777777" w:rsidR="00014EC1" w:rsidRDefault="00014EC1" w:rsidP="00014EC1"/>
          <w:p w14:paraId="1C3B22A7" w14:textId="77777777" w:rsidR="00014EC1" w:rsidRDefault="00014EC1" w:rsidP="00014EC1">
            <w:r>
              <w:t>We will:</w:t>
            </w:r>
          </w:p>
          <w:p w14:paraId="23AD2647" w14:textId="77777777" w:rsidR="00014EC1" w:rsidRDefault="00014EC1" w:rsidP="00014EC1"/>
          <w:p w14:paraId="44A241D1" w14:textId="77777777" w:rsidR="00014EC1" w:rsidRDefault="00014EC1" w:rsidP="00014EC1">
            <w:r>
              <w:t>Work towards gaining the Disability Confident Leader accreditation</w:t>
            </w:r>
          </w:p>
          <w:p w14:paraId="1FC3C878" w14:textId="77777777" w:rsidR="00014EC1" w:rsidRDefault="00014EC1" w:rsidP="00014EC1"/>
          <w:p w14:paraId="34EE5965" w14:textId="77777777" w:rsidR="00014EC1" w:rsidRDefault="00014EC1" w:rsidP="00014EC1"/>
          <w:p w14:paraId="36E83B34" w14:textId="77777777" w:rsidR="00014EC1" w:rsidRDefault="00014EC1" w:rsidP="00014EC1"/>
          <w:p w14:paraId="0634069F" w14:textId="77777777" w:rsidR="00014EC1" w:rsidRDefault="00014EC1" w:rsidP="00014EC1">
            <w:pPr>
              <w:numPr>
                <w:ilvl w:val="0"/>
                <w:numId w:val="1"/>
              </w:numPr>
              <w:ind w:left="360"/>
              <w:contextualSpacing/>
            </w:pPr>
            <w:r w:rsidRPr="00B627BB">
              <w:t>Update the Recruitment and Selection Policy</w:t>
            </w:r>
            <w:r>
              <w:t xml:space="preserve"> with support from the EDI team and ensure that </w:t>
            </w:r>
            <w:r w:rsidRPr="00B627BB">
              <w:t xml:space="preserve"> EDI is central to all practice</w:t>
            </w:r>
            <w:r>
              <w:t xml:space="preserve"> and it contains links to guidance to support best practice</w:t>
            </w:r>
          </w:p>
          <w:p w14:paraId="14EEB53E" w14:textId="77777777" w:rsidR="00014EC1" w:rsidRDefault="00014EC1" w:rsidP="00014EC1"/>
          <w:p w14:paraId="24ABB6D6" w14:textId="77777777" w:rsidR="00014EC1" w:rsidRDefault="00014EC1" w:rsidP="00014EC1">
            <w:r>
              <w:t>Re write recruitment and selection training package and make it available to all new managers followed by a subsequent roll out across the Trust</w:t>
            </w:r>
          </w:p>
          <w:p w14:paraId="6A91E2C4" w14:textId="5CF9F9BD" w:rsidR="00014EC1" w:rsidRDefault="00014EC1" w:rsidP="00014EC1"/>
          <w:p w14:paraId="7CEEBFFE" w14:textId="77777777" w:rsidR="00014EC1" w:rsidRDefault="00014EC1" w:rsidP="00014EC1"/>
          <w:p w14:paraId="79B56DCA" w14:textId="77777777" w:rsidR="00014EC1" w:rsidRDefault="00014EC1" w:rsidP="00014EC1">
            <w:r>
              <w:t>Ensure all managers receive the essential training as identified in the EDI training directory</w:t>
            </w:r>
          </w:p>
          <w:p w14:paraId="4041D080" w14:textId="77777777" w:rsidR="00014EC1" w:rsidRDefault="00014EC1" w:rsidP="00014EC1"/>
          <w:p w14:paraId="37E88A8E" w14:textId="77777777" w:rsidR="00014EC1" w:rsidRDefault="00014EC1" w:rsidP="00014EC1">
            <w:r>
              <w:t>Continue to evaluate recruitment via Agenda for Change (AfC) pay bands and staff groups and investigate cases of perceived or actual under-representation as required by the EDI Board</w:t>
            </w:r>
          </w:p>
          <w:p w14:paraId="6F182B12" w14:textId="77777777" w:rsidR="00014EC1" w:rsidRDefault="00014EC1" w:rsidP="00014EC1"/>
          <w:p w14:paraId="0D39484E" w14:textId="77777777" w:rsidR="00014EC1" w:rsidRDefault="00014EC1" w:rsidP="00014EC1">
            <w:r>
              <w:t>Raise awareness and publicise the AfC guidance in order to support transparency in non-medical pay banding</w:t>
            </w:r>
          </w:p>
          <w:p w14:paraId="69978810" w14:textId="77777777" w:rsidR="00014EC1" w:rsidRDefault="00014EC1" w:rsidP="00014EC1"/>
          <w:p w14:paraId="754BC2B3" w14:textId="77777777" w:rsidR="00014EC1" w:rsidRDefault="00014EC1" w:rsidP="00014EC1">
            <w:r>
              <w:t>Develop a plan to connect with the local community in order to increase visibility and promote STH as an employer of choice</w:t>
            </w:r>
          </w:p>
          <w:p w14:paraId="767934A6" w14:textId="77777777" w:rsidR="00014EC1" w:rsidRDefault="00014EC1" w:rsidP="00014EC1"/>
          <w:p w14:paraId="2624142B" w14:textId="77777777" w:rsidR="00014EC1" w:rsidRDefault="00014EC1" w:rsidP="00014EC1">
            <w:r>
              <w:t>Ensure that guidance on applying for posts and the selection process is available in accessible formats</w:t>
            </w:r>
          </w:p>
          <w:p w14:paraId="22E5CC9A" w14:textId="6B39DEC5" w:rsidR="00B62AA6" w:rsidRPr="005433CE" w:rsidRDefault="00B62AA6" w:rsidP="00014EC1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301" w14:textId="77777777" w:rsidR="00014EC1" w:rsidRDefault="00014EC1" w:rsidP="00014EC1"/>
          <w:p w14:paraId="0B055D03" w14:textId="77777777" w:rsidR="00014EC1" w:rsidRDefault="00014EC1" w:rsidP="00014EC1"/>
          <w:p w14:paraId="67CDE1ED" w14:textId="77777777" w:rsidR="00014EC1" w:rsidRDefault="00014EC1" w:rsidP="00014EC1"/>
          <w:p w14:paraId="606136E2" w14:textId="77777777" w:rsidR="00014EC1" w:rsidRDefault="00014EC1" w:rsidP="00014EC1">
            <w:r>
              <w:t>Demonstrates commitment and potentially reduces (actual or perceived) bias and discrimination towards people with disabilities</w:t>
            </w:r>
          </w:p>
          <w:p w14:paraId="0C836AA0" w14:textId="5574DC89" w:rsidR="00014EC1" w:rsidRDefault="00014EC1" w:rsidP="00014EC1"/>
          <w:p w14:paraId="7F3D5B51" w14:textId="77777777" w:rsidR="00014EC1" w:rsidRDefault="00014EC1" w:rsidP="00014EC1"/>
          <w:p w14:paraId="289E2C88" w14:textId="77777777" w:rsidR="00014EC1" w:rsidRDefault="00014EC1" w:rsidP="00014EC1">
            <w:r>
              <w:t>Increases confidence in systems and involves / engages with SNG members and Staff Partners</w:t>
            </w:r>
          </w:p>
          <w:p w14:paraId="571F1DEB" w14:textId="77777777" w:rsidR="00014EC1" w:rsidRDefault="00014EC1" w:rsidP="00014EC1"/>
          <w:p w14:paraId="2329A14C" w14:textId="77777777" w:rsidR="00014EC1" w:rsidRDefault="00014EC1" w:rsidP="00014EC1">
            <w:r>
              <w:t>Increases expertise and develops recruitment practice; reduces potential for bias and discrimination towards people with disabilities</w:t>
            </w:r>
          </w:p>
          <w:p w14:paraId="0F1DA34D" w14:textId="6E486889" w:rsidR="00014EC1" w:rsidRDefault="00014EC1" w:rsidP="00014EC1"/>
          <w:p w14:paraId="6ADF33F2" w14:textId="77777777" w:rsidR="00014EC1" w:rsidRDefault="00014EC1" w:rsidP="00014EC1"/>
          <w:p w14:paraId="7F0E6768" w14:textId="77777777" w:rsidR="00014EC1" w:rsidRDefault="00014EC1" w:rsidP="00014EC1">
            <w:r>
              <w:t>As above</w:t>
            </w:r>
          </w:p>
          <w:p w14:paraId="66A207F3" w14:textId="77777777" w:rsidR="00014EC1" w:rsidRDefault="00014EC1" w:rsidP="00014EC1"/>
          <w:p w14:paraId="7117E930" w14:textId="77777777" w:rsidR="00014EC1" w:rsidRDefault="00014EC1" w:rsidP="00014EC1"/>
          <w:p w14:paraId="3D59D691" w14:textId="77777777" w:rsidR="00014EC1" w:rsidRDefault="00014EC1" w:rsidP="00014EC1">
            <w:r>
              <w:t>Increases confidence in systems; highlights any issues of disability fairness and equity</w:t>
            </w:r>
          </w:p>
          <w:p w14:paraId="3A894388" w14:textId="77777777" w:rsidR="00014EC1" w:rsidRDefault="00014EC1" w:rsidP="00014EC1"/>
          <w:p w14:paraId="2B0B1062" w14:textId="618753D0" w:rsidR="00014EC1" w:rsidRDefault="00B62AA6" w:rsidP="00014EC1">
            <w:r>
              <w:t>D</w:t>
            </w:r>
            <w:r w:rsidR="00014EC1">
              <w:t>emonstrates transparency and fairness; increases confidence in the pay banding system</w:t>
            </w:r>
          </w:p>
          <w:p w14:paraId="62804FA0" w14:textId="77777777" w:rsidR="00014EC1" w:rsidRDefault="00014EC1" w:rsidP="00014EC1"/>
          <w:p w14:paraId="6F7B86A9" w14:textId="77777777" w:rsidR="00014EC1" w:rsidRDefault="00014EC1" w:rsidP="00014EC1">
            <w:r>
              <w:t>Increases the Trust’s profile in local communities</w:t>
            </w:r>
          </w:p>
          <w:p w14:paraId="70EA03EB" w14:textId="77777777" w:rsidR="00014EC1" w:rsidRDefault="00014EC1" w:rsidP="00014EC1"/>
          <w:p w14:paraId="1BE73587" w14:textId="6629B8E8" w:rsidR="00014EC1" w:rsidRDefault="00014EC1" w:rsidP="00014EC1">
            <w:r>
              <w:t>Improves engagement with local communities and people with disabilities</w:t>
            </w:r>
          </w:p>
          <w:p w14:paraId="0FFD4A59" w14:textId="77777777" w:rsidR="00014EC1" w:rsidRPr="005433CE" w:rsidRDefault="00014EC1" w:rsidP="00014E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4B2" w14:textId="77777777" w:rsidR="00014EC1" w:rsidRDefault="00014EC1" w:rsidP="00014EC1"/>
          <w:p w14:paraId="13672229" w14:textId="77777777" w:rsidR="00014EC1" w:rsidRDefault="00014EC1" w:rsidP="00014EC1"/>
          <w:p w14:paraId="769639CA" w14:textId="6FE533AD" w:rsidR="00014EC1" w:rsidRDefault="00014EC1" w:rsidP="00014EC1"/>
          <w:p w14:paraId="46FC5A6D" w14:textId="5A25D4B3" w:rsidR="00014EC1" w:rsidRDefault="00014EC1" w:rsidP="00014EC1"/>
          <w:p w14:paraId="785DAD57" w14:textId="3CCFEC66" w:rsidR="00014EC1" w:rsidRDefault="00014EC1" w:rsidP="00014EC1"/>
          <w:p w14:paraId="0FACE065" w14:textId="76294646" w:rsidR="00014EC1" w:rsidRDefault="00014EC1" w:rsidP="00014EC1"/>
          <w:p w14:paraId="2879E57D" w14:textId="77777777" w:rsidR="00014EC1" w:rsidRDefault="00014EC1" w:rsidP="00014EC1"/>
          <w:p w14:paraId="7C33E261" w14:textId="77777777" w:rsidR="00014EC1" w:rsidRDefault="00014EC1" w:rsidP="00014EC1">
            <w:r>
              <w:t>December 22</w:t>
            </w:r>
          </w:p>
          <w:p w14:paraId="6D80A7EF" w14:textId="77777777" w:rsidR="00014EC1" w:rsidRDefault="00014EC1" w:rsidP="00014EC1"/>
          <w:p w14:paraId="7BB77009" w14:textId="77777777" w:rsidR="00014EC1" w:rsidRDefault="00014EC1" w:rsidP="00014EC1"/>
          <w:p w14:paraId="4751FEFB" w14:textId="77777777" w:rsidR="00014EC1" w:rsidRDefault="00014EC1" w:rsidP="00014EC1"/>
          <w:p w14:paraId="2FAFCAD0" w14:textId="77777777" w:rsidR="00014EC1" w:rsidRDefault="00014EC1" w:rsidP="00014EC1"/>
          <w:p w14:paraId="0604490F" w14:textId="77777777" w:rsidR="00014EC1" w:rsidRDefault="00014EC1" w:rsidP="00014EC1">
            <w:r>
              <w:t>September 22</w:t>
            </w:r>
          </w:p>
          <w:p w14:paraId="6D738077" w14:textId="77777777" w:rsidR="00014EC1" w:rsidRDefault="00014EC1" w:rsidP="00014EC1"/>
          <w:p w14:paraId="03144208" w14:textId="77777777" w:rsidR="00014EC1" w:rsidRDefault="00014EC1" w:rsidP="00014EC1"/>
          <w:p w14:paraId="3B35D67E" w14:textId="0FD8C593" w:rsidR="00014EC1" w:rsidRDefault="00014EC1" w:rsidP="00014EC1"/>
          <w:p w14:paraId="0A205938" w14:textId="77777777" w:rsidR="00014EC1" w:rsidRDefault="00014EC1" w:rsidP="00014EC1"/>
          <w:p w14:paraId="1B727259" w14:textId="77777777" w:rsidR="00014EC1" w:rsidRDefault="00014EC1" w:rsidP="00014EC1"/>
          <w:p w14:paraId="10999142" w14:textId="77777777" w:rsidR="00014EC1" w:rsidRDefault="00014EC1" w:rsidP="00014EC1">
            <w:r>
              <w:t>September 22</w:t>
            </w:r>
          </w:p>
          <w:p w14:paraId="6E664B0B" w14:textId="77777777" w:rsidR="00014EC1" w:rsidRDefault="00014EC1" w:rsidP="00014EC1"/>
          <w:p w14:paraId="10E62492" w14:textId="77777777" w:rsidR="00014EC1" w:rsidRDefault="00014EC1" w:rsidP="00014EC1">
            <w:r>
              <w:t>March 2022 and ongoing</w:t>
            </w:r>
          </w:p>
          <w:p w14:paraId="6815B3E7" w14:textId="0003F5A8" w:rsidR="00014EC1" w:rsidRDefault="00014EC1" w:rsidP="00014EC1"/>
          <w:p w14:paraId="32F3DCB6" w14:textId="5067122D" w:rsidR="00014EC1" w:rsidRDefault="00014EC1" w:rsidP="00014EC1"/>
          <w:p w14:paraId="1D312AC5" w14:textId="02427E45" w:rsidR="00014EC1" w:rsidRDefault="00014EC1" w:rsidP="00014EC1"/>
          <w:p w14:paraId="4BF2C11B" w14:textId="77777777" w:rsidR="00014EC1" w:rsidRDefault="00014EC1" w:rsidP="00014EC1"/>
          <w:p w14:paraId="23A38DF8" w14:textId="77777777" w:rsidR="00014EC1" w:rsidRDefault="00014EC1" w:rsidP="00014EC1">
            <w:r>
              <w:t>Ongoing</w:t>
            </w:r>
          </w:p>
          <w:p w14:paraId="548A2FE5" w14:textId="77777777" w:rsidR="00014EC1" w:rsidRDefault="00014EC1" w:rsidP="00014EC1"/>
          <w:p w14:paraId="545C44FF" w14:textId="77777777" w:rsidR="00014EC1" w:rsidRDefault="00014EC1" w:rsidP="00014EC1"/>
          <w:p w14:paraId="72CFDE8C" w14:textId="77777777" w:rsidR="00014EC1" w:rsidRDefault="00014EC1" w:rsidP="00014EC1"/>
          <w:p w14:paraId="3FC1D4C4" w14:textId="77777777" w:rsidR="00014EC1" w:rsidRDefault="00014EC1" w:rsidP="00014EC1">
            <w:r>
              <w:t>Ongoing</w:t>
            </w:r>
          </w:p>
          <w:p w14:paraId="0A0C284A" w14:textId="77777777" w:rsidR="00014EC1" w:rsidRDefault="00014EC1" w:rsidP="00014EC1"/>
          <w:p w14:paraId="0F72647F" w14:textId="77777777" w:rsidR="00014EC1" w:rsidRDefault="00014EC1" w:rsidP="00014EC1"/>
          <w:p w14:paraId="5A993CA6" w14:textId="77777777" w:rsidR="00014EC1" w:rsidRDefault="00014EC1" w:rsidP="00014EC1">
            <w:r>
              <w:t>Ongoing</w:t>
            </w:r>
          </w:p>
          <w:p w14:paraId="43B88877" w14:textId="77777777" w:rsidR="00014EC1" w:rsidRDefault="00014EC1" w:rsidP="00014EC1"/>
          <w:p w14:paraId="1958271B" w14:textId="77777777" w:rsidR="00014EC1" w:rsidRDefault="00014EC1" w:rsidP="00014EC1"/>
          <w:p w14:paraId="65E10388" w14:textId="77777777" w:rsidR="00014EC1" w:rsidRDefault="00014EC1" w:rsidP="00014EC1"/>
          <w:p w14:paraId="0451789D" w14:textId="77777777" w:rsidR="00014EC1" w:rsidRPr="005433CE" w:rsidRDefault="00014EC1" w:rsidP="00014EC1">
            <w:r>
              <w:t>Ongoing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A58" w14:textId="77777777" w:rsidR="00014EC1" w:rsidRDefault="00014EC1" w:rsidP="00014EC1"/>
          <w:p w14:paraId="683B6B5B" w14:textId="6765C233" w:rsidR="00014EC1" w:rsidRDefault="00014EC1" w:rsidP="00014EC1"/>
          <w:p w14:paraId="45D81DE8" w14:textId="0F001F08" w:rsidR="00014EC1" w:rsidRDefault="00014EC1" w:rsidP="00014EC1"/>
          <w:p w14:paraId="12B32FE7" w14:textId="7F417B05" w:rsidR="00014EC1" w:rsidRDefault="00014EC1" w:rsidP="00014EC1"/>
          <w:p w14:paraId="0E19614F" w14:textId="7EB6DC27" w:rsidR="00014EC1" w:rsidRDefault="00014EC1" w:rsidP="00014EC1"/>
          <w:p w14:paraId="4828B6CF" w14:textId="77777777" w:rsidR="00014EC1" w:rsidRDefault="00014EC1" w:rsidP="00014EC1"/>
          <w:p w14:paraId="4A9276A6" w14:textId="77777777" w:rsidR="00014EC1" w:rsidRDefault="00014EC1" w:rsidP="00014EC1"/>
          <w:p w14:paraId="6FDE8A0E" w14:textId="77777777" w:rsidR="00014EC1" w:rsidRDefault="00014EC1" w:rsidP="00014EC1">
            <w:r>
              <w:t>HR / ODD EDI</w:t>
            </w:r>
          </w:p>
          <w:p w14:paraId="47632D6D" w14:textId="77777777" w:rsidR="00014EC1" w:rsidRDefault="00014EC1" w:rsidP="00014EC1"/>
          <w:p w14:paraId="42D28FA1" w14:textId="77777777" w:rsidR="00014EC1" w:rsidRDefault="00014EC1" w:rsidP="00014EC1"/>
          <w:p w14:paraId="11D41251" w14:textId="77777777" w:rsidR="00014EC1" w:rsidRDefault="00014EC1" w:rsidP="00014EC1"/>
          <w:p w14:paraId="0FCF7942" w14:textId="77777777" w:rsidR="00014EC1" w:rsidRDefault="00014EC1" w:rsidP="00014EC1">
            <w:r>
              <w:t>HR / Staff Side / SNG chairs</w:t>
            </w:r>
          </w:p>
          <w:p w14:paraId="256B8590" w14:textId="77777777" w:rsidR="00014EC1" w:rsidRDefault="00014EC1" w:rsidP="00014EC1"/>
          <w:p w14:paraId="28EF9BB6" w14:textId="160B7165" w:rsidR="00014EC1" w:rsidRDefault="00014EC1" w:rsidP="00014EC1"/>
          <w:p w14:paraId="5009DE12" w14:textId="25994317" w:rsidR="00014EC1" w:rsidRDefault="00014EC1" w:rsidP="00014EC1"/>
          <w:p w14:paraId="03AF8813" w14:textId="77777777" w:rsidR="00014EC1" w:rsidRDefault="00014EC1" w:rsidP="00014EC1"/>
          <w:p w14:paraId="0B356A04" w14:textId="77777777" w:rsidR="00014EC1" w:rsidRDefault="00014EC1" w:rsidP="00014EC1"/>
          <w:p w14:paraId="1B30C737" w14:textId="77777777" w:rsidR="00014EC1" w:rsidRDefault="00014EC1" w:rsidP="00014EC1">
            <w:r>
              <w:t>HR / LMD</w:t>
            </w:r>
          </w:p>
          <w:p w14:paraId="39573F74" w14:textId="77777777" w:rsidR="00014EC1" w:rsidRDefault="00014EC1" w:rsidP="00014EC1"/>
          <w:p w14:paraId="632A2100" w14:textId="77777777" w:rsidR="00014EC1" w:rsidRDefault="00014EC1" w:rsidP="00014EC1"/>
          <w:p w14:paraId="20054DA8" w14:textId="77777777" w:rsidR="00014EC1" w:rsidRDefault="00014EC1" w:rsidP="00014EC1">
            <w:r>
              <w:t>ODD EDI and Trust Wide</w:t>
            </w:r>
          </w:p>
          <w:p w14:paraId="0680E5B9" w14:textId="77777777" w:rsidR="00014EC1" w:rsidRDefault="00014EC1" w:rsidP="00014EC1"/>
          <w:p w14:paraId="19F9ACD2" w14:textId="3AE710D0" w:rsidR="00014EC1" w:rsidRDefault="00014EC1" w:rsidP="00014EC1"/>
          <w:p w14:paraId="4D7CCA89" w14:textId="4772D4D8" w:rsidR="00014EC1" w:rsidRDefault="00014EC1" w:rsidP="00014EC1"/>
          <w:p w14:paraId="1B5C2B9A" w14:textId="3A017136" w:rsidR="00014EC1" w:rsidRDefault="00014EC1" w:rsidP="00014EC1"/>
          <w:p w14:paraId="1A67BA20" w14:textId="77777777" w:rsidR="00014EC1" w:rsidRDefault="00014EC1" w:rsidP="00014EC1">
            <w:r>
              <w:t>HR</w:t>
            </w:r>
          </w:p>
          <w:p w14:paraId="185C1C31" w14:textId="77777777" w:rsidR="00014EC1" w:rsidRDefault="00014EC1" w:rsidP="00014EC1"/>
          <w:p w14:paraId="20B250FB" w14:textId="77777777" w:rsidR="00014EC1" w:rsidRDefault="00014EC1" w:rsidP="00014EC1"/>
          <w:p w14:paraId="73D9641A" w14:textId="77777777" w:rsidR="00014EC1" w:rsidRDefault="00014EC1" w:rsidP="00014EC1"/>
          <w:p w14:paraId="039C3D8A" w14:textId="77777777" w:rsidR="00014EC1" w:rsidRDefault="00014EC1" w:rsidP="00014EC1">
            <w:r>
              <w:t>HR</w:t>
            </w:r>
          </w:p>
          <w:p w14:paraId="1BF1904E" w14:textId="77777777" w:rsidR="00014EC1" w:rsidRDefault="00014EC1" w:rsidP="00014EC1"/>
          <w:p w14:paraId="4D1AFD0C" w14:textId="77777777" w:rsidR="00014EC1" w:rsidRDefault="00014EC1" w:rsidP="00014EC1"/>
          <w:p w14:paraId="1F6AA00F" w14:textId="77777777" w:rsidR="00014EC1" w:rsidRDefault="00014EC1" w:rsidP="00014EC1">
            <w:r>
              <w:t xml:space="preserve">HR / L&amp;D </w:t>
            </w:r>
          </w:p>
          <w:p w14:paraId="588B2C1A" w14:textId="77777777" w:rsidR="00014EC1" w:rsidRDefault="00014EC1" w:rsidP="00014EC1"/>
          <w:p w14:paraId="6E27B450" w14:textId="77777777" w:rsidR="00014EC1" w:rsidRDefault="00014EC1" w:rsidP="00014EC1"/>
          <w:p w14:paraId="043D5D39" w14:textId="77777777" w:rsidR="00014EC1" w:rsidRDefault="00014EC1" w:rsidP="00014EC1"/>
          <w:p w14:paraId="7696C0DE" w14:textId="77BB43EC" w:rsidR="00014EC1" w:rsidRPr="005433CE" w:rsidRDefault="00014EC1" w:rsidP="00014EC1">
            <w:r>
              <w:t>HR</w:t>
            </w:r>
          </w:p>
        </w:tc>
      </w:tr>
      <w:tr w:rsidR="00014EC1" w:rsidRPr="005433CE" w14:paraId="6B9A9F93" w14:textId="77777777" w:rsidTr="00014EC1">
        <w:trPr>
          <w:trHeight w:val="67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B86" w14:textId="77777777" w:rsidR="00014EC1" w:rsidRDefault="00014EC1" w:rsidP="00014EC1">
            <w:pPr>
              <w:rPr>
                <w:bCs/>
              </w:rPr>
            </w:pPr>
            <w:bookmarkStart w:id="3" w:name="_Hlk118368579"/>
            <w:bookmarkEnd w:id="2"/>
          </w:p>
          <w:p w14:paraId="7F384231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 xml:space="preserve">Metric 3 - </w:t>
            </w:r>
            <w:r w:rsidRPr="005433CE">
              <w:rPr>
                <w:bCs/>
              </w:rPr>
              <w:br/>
              <w:t>Capability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E39" w14:textId="77777777" w:rsidR="00014EC1" w:rsidRDefault="00014EC1" w:rsidP="00014EC1"/>
          <w:p w14:paraId="1D6FE441" w14:textId="77777777" w:rsidR="00014EC1" w:rsidRDefault="00014EC1" w:rsidP="00014EC1">
            <w:r>
              <w:t>We will:</w:t>
            </w:r>
          </w:p>
          <w:p w14:paraId="68945964" w14:textId="77777777" w:rsidR="00014EC1" w:rsidRDefault="00014EC1" w:rsidP="00014EC1"/>
          <w:p w14:paraId="1E3651FB" w14:textId="77777777" w:rsidR="00014EC1" w:rsidRDefault="00014EC1" w:rsidP="00014EC1">
            <w:r>
              <w:t>Produce a Workplace Adjustment Policy and Reasonable Adjustment Passport</w:t>
            </w:r>
          </w:p>
          <w:p w14:paraId="24F3DF4E" w14:textId="77777777" w:rsidR="00014EC1" w:rsidRDefault="00014EC1" w:rsidP="00014EC1"/>
          <w:p w14:paraId="3ACA7400" w14:textId="77777777" w:rsidR="00014EC1" w:rsidRDefault="00014EC1" w:rsidP="00014EC1"/>
          <w:p w14:paraId="03D0F47A" w14:textId="77777777" w:rsidR="00014EC1" w:rsidRDefault="00014EC1" w:rsidP="00014EC1"/>
          <w:p w14:paraId="023FA2F2" w14:textId="77777777" w:rsidR="00014EC1" w:rsidRDefault="00014EC1" w:rsidP="00014EC1">
            <w:r>
              <w:t>Roll out the Reasonable Adjustment Passport across the Trust</w:t>
            </w:r>
          </w:p>
          <w:p w14:paraId="5E5AE159" w14:textId="77777777" w:rsidR="00014EC1" w:rsidRDefault="00014EC1" w:rsidP="00014EC1"/>
          <w:p w14:paraId="5F83FF74" w14:textId="77777777" w:rsidR="00014EC1" w:rsidRDefault="00014EC1" w:rsidP="00014EC1"/>
          <w:p w14:paraId="65EBFA1A" w14:textId="77777777" w:rsidR="00014EC1" w:rsidRDefault="00014EC1" w:rsidP="00014EC1">
            <w:r>
              <w:t>Review and revise the Capability Policy</w:t>
            </w:r>
          </w:p>
          <w:p w14:paraId="28E6A60B" w14:textId="77777777" w:rsidR="00014EC1" w:rsidRDefault="00014EC1" w:rsidP="00014EC1"/>
          <w:p w14:paraId="337CAB5F" w14:textId="77777777" w:rsidR="00014EC1" w:rsidRDefault="00014EC1" w:rsidP="00014EC1"/>
          <w:p w14:paraId="50C717E7" w14:textId="77777777" w:rsidR="00014EC1" w:rsidRDefault="00014EC1" w:rsidP="00014EC1"/>
          <w:p w14:paraId="00ECE232" w14:textId="0FBBEDE8" w:rsidR="00014EC1" w:rsidRDefault="00014EC1" w:rsidP="00014EC1">
            <w:r>
              <w:t>Continue to monitor hot spots and work with the S</w:t>
            </w:r>
            <w:r w:rsidR="00B62AA6">
              <w:t>TH</w:t>
            </w:r>
            <w:r>
              <w:t>Ability Staff Network Group and Staff Partners to address issues identified</w:t>
            </w:r>
          </w:p>
          <w:p w14:paraId="1AAE5383" w14:textId="77777777" w:rsidR="00014EC1" w:rsidRPr="005433CE" w:rsidRDefault="00014EC1" w:rsidP="00014EC1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6AC" w14:textId="77777777" w:rsidR="00014EC1" w:rsidRDefault="00014EC1" w:rsidP="00014EC1"/>
          <w:p w14:paraId="54C37EA9" w14:textId="77777777" w:rsidR="00014EC1" w:rsidRDefault="00014EC1" w:rsidP="00014EC1"/>
          <w:p w14:paraId="6ADEF73D" w14:textId="77777777" w:rsidR="00014EC1" w:rsidRDefault="00014EC1" w:rsidP="00014EC1"/>
          <w:p w14:paraId="06BFDF97" w14:textId="77777777" w:rsidR="00014EC1" w:rsidRDefault="00014EC1" w:rsidP="00014EC1">
            <w:r>
              <w:t>Ensures reasonable adjustments are managed and applied in a fair and equal way</w:t>
            </w:r>
          </w:p>
          <w:p w14:paraId="09F16439" w14:textId="77777777" w:rsidR="00014EC1" w:rsidRDefault="00014EC1" w:rsidP="00014EC1"/>
          <w:p w14:paraId="0C9E934F" w14:textId="77777777" w:rsidR="00014EC1" w:rsidRDefault="00014EC1" w:rsidP="00014EC1"/>
          <w:p w14:paraId="3A8604CF" w14:textId="77777777" w:rsidR="00014EC1" w:rsidRDefault="00014EC1" w:rsidP="00014EC1">
            <w:r>
              <w:t>Avoids delays in applying for and accessing RAs; ensures that RAs are seamlessly in place</w:t>
            </w:r>
          </w:p>
          <w:p w14:paraId="42733B23" w14:textId="77777777" w:rsidR="00014EC1" w:rsidRDefault="00014EC1" w:rsidP="00014EC1"/>
          <w:p w14:paraId="59B0818F" w14:textId="77777777" w:rsidR="00014EC1" w:rsidRDefault="00014EC1" w:rsidP="00014EC1">
            <w:r>
              <w:t>Ensures that capability matters are managed in a fair and equitable way</w:t>
            </w:r>
          </w:p>
          <w:p w14:paraId="63672E9A" w14:textId="77777777" w:rsidR="00014EC1" w:rsidRDefault="00014EC1" w:rsidP="00014EC1"/>
          <w:p w14:paraId="4CE20FFE" w14:textId="77777777" w:rsidR="00B62AA6" w:rsidRDefault="00B62AA6" w:rsidP="00014EC1"/>
          <w:p w14:paraId="0873BA1E" w14:textId="51267EFA" w:rsidR="00014EC1" w:rsidRPr="005433CE" w:rsidRDefault="00014EC1" w:rsidP="00014EC1">
            <w:r>
              <w:t xml:space="preserve">Ensures that issues raised are dealt with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127" w14:textId="77777777" w:rsidR="00014EC1" w:rsidRDefault="00014EC1" w:rsidP="00014EC1"/>
          <w:p w14:paraId="5679CE1B" w14:textId="77777777" w:rsidR="00014EC1" w:rsidRDefault="00014EC1" w:rsidP="00014EC1"/>
          <w:p w14:paraId="19E4D2F4" w14:textId="69A78601" w:rsidR="00014EC1" w:rsidRDefault="00014EC1" w:rsidP="00014EC1"/>
          <w:p w14:paraId="5ACCB984" w14:textId="7AF5DF08" w:rsidR="00014EC1" w:rsidRDefault="00014EC1" w:rsidP="00014EC1"/>
          <w:p w14:paraId="457A2D31" w14:textId="77777777" w:rsidR="00014EC1" w:rsidRDefault="00014EC1" w:rsidP="00014EC1"/>
          <w:p w14:paraId="7A7D98C1" w14:textId="77777777" w:rsidR="00014EC1" w:rsidRDefault="00014EC1" w:rsidP="00014EC1">
            <w:r>
              <w:t xml:space="preserve">September 22 </w:t>
            </w:r>
          </w:p>
          <w:p w14:paraId="3F5A1435" w14:textId="77777777" w:rsidR="00014EC1" w:rsidRDefault="00014EC1" w:rsidP="00014EC1"/>
          <w:p w14:paraId="7DC604E6" w14:textId="77777777" w:rsidR="00014EC1" w:rsidRDefault="00014EC1" w:rsidP="00014EC1"/>
          <w:p w14:paraId="30B6EEFB" w14:textId="77777777" w:rsidR="00014EC1" w:rsidRDefault="00014EC1" w:rsidP="00014EC1"/>
          <w:p w14:paraId="74FADDBC" w14:textId="77777777" w:rsidR="00014EC1" w:rsidRDefault="00014EC1" w:rsidP="00014EC1"/>
          <w:p w14:paraId="57196B3C" w14:textId="77777777" w:rsidR="00014EC1" w:rsidRDefault="00014EC1" w:rsidP="00014EC1">
            <w:r>
              <w:t>September 22</w:t>
            </w:r>
          </w:p>
          <w:p w14:paraId="0533B30B" w14:textId="77777777" w:rsidR="00014EC1" w:rsidRDefault="00014EC1" w:rsidP="00014EC1"/>
          <w:p w14:paraId="2B686319" w14:textId="77777777" w:rsidR="00014EC1" w:rsidRDefault="00014EC1" w:rsidP="00014EC1"/>
          <w:p w14:paraId="5EAE6F1A" w14:textId="77777777" w:rsidR="00014EC1" w:rsidRDefault="00014EC1" w:rsidP="00014EC1"/>
          <w:p w14:paraId="64E91B0D" w14:textId="77777777" w:rsidR="00014EC1" w:rsidRDefault="00014EC1" w:rsidP="00014EC1">
            <w:r>
              <w:t>March 23</w:t>
            </w:r>
          </w:p>
          <w:p w14:paraId="5DBF9D0F" w14:textId="77777777" w:rsidR="00014EC1" w:rsidRDefault="00014EC1" w:rsidP="00014EC1"/>
          <w:p w14:paraId="1AF93267" w14:textId="77777777" w:rsidR="00014EC1" w:rsidRDefault="00014EC1" w:rsidP="00014EC1"/>
          <w:p w14:paraId="650F46BF" w14:textId="77777777" w:rsidR="00014EC1" w:rsidRDefault="00014EC1" w:rsidP="00014EC1"/>
          <w:p w14:paraId="161A0979" w14:textId="77777777" w:rsidR="00014EC1" w:rsidRPr="005433CE" w:rsidRDefault="00014EC1" w:rsidP="00014EC1">
            <w:r>
              <w:t>Ongoing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2A3" w14:textId="77777777" w:rsidR="00014EC1" w:rsidRDefault="00014EC1" w:rsidP="00014EC1"/>
          <w:p w14:paraId="51D9F372" w14:textId="7B24913B" w:rsidR="00014EC1" w:rsidRDefault="00014EC1" w:rsidP="00014EC1"/>
          <w:p w14:paraId="44E47BDF" w14:textId="77777777" w:rsidR="00014EC1" w:rsidRDefault="00014EC1" w:rsidP="00014EC1"/>
          <w:p w14:paraId="315D3C8C" w14:textId="77777777" w:rsidR="00014EC1" w:rsidRDefault="00014EC1" w:rsidP="00014EC1"/>
          <w:p w14:paraId="60E8A26C" w14:textId="77777777" w:rsidR="00014EC1" w:rsidRDefault="00014EC1" w:rsidP="00014EC1">
            <w:r>
              <w:t>ODD EDI / LMD /</w:t>
            </w:r>
          </w:p>
          <w:p w14:paraId="57ABE1B9" w14:textId="35397D7F" w:rsidR="00014EC1" w:rsidRDefault="00014EC1" w:rsidP="00014EC1">
            <w:r>
              <w:t>Chair of S</w:t>
            </w:r>
            <w:r>
              <w:t>TH</w:t>
            </w:r>
            <w:r>
              <w:t xml:space="preserve">Ability </w:t>
            </w:r>
          </w:p>
          <w:p w14:paraId="77FF63E6" w14:textId="77777777" w:rsidR="00014EC1" w:rsidRDefault="00014EC1" w:rsidP="00014EC1"/>
          <w:p w14:paraId="1BA86BC3" w14:textId="77777777" w:rsidR="00014EC1" w:rsidRDefault="00014EC1" w:rsidP="00014EC1"/>
          <w:p w14:paraId="273ADF66" w14:textId="0C70E22C" w:rsidR="00014EC1" w:rsidRDefault="00014EC1" w:rsidP="00014EC1"/>
          <w:p w14:paraId="61A16263" w14:textId="77777777" w:rsidR="00014EC1" w:rsidRDefault="00014EC1" w:rsidP="00014EC1"/>
          <w:p w14:paraId="18991171" w14:textId="77777777" w:rsidR="00014EC1" w:rsidRDefault="00014EC1" w:rsidP="00014EC1">
            <w:r>
              <w:t xml:space="preserve">ODD EDI / LMD / HR </w:t>
            </w:r>
          </w:p>
          <w:p w14:paraId="433ED72B" w14:textId="77777777" w:rsidR="00014EC1" w:rsidRDefault="00014EC1" w:rsidP="00014EC1"/>
          <w:p w14:paraId="5CD17286" w14:textId="77777777" w:rsidR="00014EC1" w:rsidRDefault="00014EC1" w:rsidP="00014EC1"/>
          <w:p w14:paraId="6A2359B7" w14:textId="77777777" w:rsidR="00014EC1" w:rsidRDefault="00014EC1" w:rsidP="00014EC1"/>
          <w:p w14:paraId="6935B5EB" w14:textId="77777777" w:rsidR="00014EC1" w:rsidRDefault="00014EC1" w:rsidP="00014EC1">
            <w:r>
              <w:t>HR</w:t>
            </w:r>
          </w:p>
          <w:p w14:paraId="4C90DC8D" w14:textId="77777777" w:rsidR="00014EC1" w:rsidRDefault="00014EC1" w:rsidP="00014EC1"/>
          <w:p w14:paraId="6C69E171" w14:textId="77777777" w:rsidR="00014EC1" w:rsidRDefault="00014EC1" w:rsidP="00014EC1"/>
          <w:p w14:paraId="0AE0C2B7" w14:textId="2EE81FFB" w:rsidR="00014EC1" w:rsidRPr="005433CE" w:rsidRDefault="00014EC1" w:rsidP="00014EC1">
            <w:r>
              <w:t>HR / ODD EDI / Staff Side and Chair of S</w:t>
            </w:r>
            <w:r>
              <w:t>TH</w:t>
            </w:r>
            <w:r>
              <w:t>Ability</w:t>
            </w:r>
          </w:p>
        </w:tc>
      </w:tr>
      <w:tr w:rsidR="00014EC1" w:rsidRPr="005433CE" w14:paraId="723C5A7A" w14:textId="77777777" w:rsidTr="00014EC1">
        <w:trPr>
          <w:trHeight w:val="501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3FA" w14:textId="77777777" w:rsidR="00014EC1" w:rsidRDefault="00014EC1" w:rsidP="00014EC1">
            <w:pPr>
              <w:rPr>
                <w:bCs/>
              </w:rPr>
            </w:pPr>
            <w:bookmarkStart w:id="4" w:name="_Hlk118368592"/>
            <w:bookmarkEnd w:id="3"/>
          </w:p>
          <w:p w14:paraId="6B4D551C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4</w:t>
            </w:r>
          </w:p>
          <w:p w14:paraId="10C70477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5</w:t>
            </w:r>
          </w:p>
          <w:p w14:paraId="3E031548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6</w:t>
            </w:r>
          </w:p>
          <w:p w14:paraId="17545302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7</w:t>
            </w:r>
          </w:p>
          <w:p w14:paraId="19014421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8 -</w:t>
            </w:r>
          </w:p>
          <w:p w14:paraId="609F55A4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Staff experience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27F" w14:textId="77777777" w:rsidR="00014EC1" w:rsidRDefault="00014EC1" w:rsidP="00014EC1"/>
          <w:p w14:paraId="72C08DE1" w14:textId="77777777" w:rsidR="00014EC1" w:rsidRDefault="00014EC1" w:rsidP="00014EC1">
            <w:r>
              <w:t>We will:</w:t>
            </w:r>
          </w:p>
          <w:p w14:paraId="600FF895" w14:textId="77777777" w:rsidR="00014EC1" w:rsidRDefault="00014EC1" w:rsidP="00014EC1"/>
          <w:p w14:paraId="5FC0521B" w14:textId="74BBE059" w:rsidR="00014EC1" w:rsidRDefault="00014EC1" w:rsidP="00014EC1">
            <w:r>
              <w:t>Work with the members of S</w:t>
            </w:r>
            <w:r w:rsidR="00B62AA6">
              <w:t>TH</w:t>
            </w:r>
            <w:r>
              <w:t>Ability and Staff Partners to reduce all forms of discrimination, bullying, harassment and abuse</w:t>
            </w:r>
          </w:p>
          <w:p w14:paraId="701AB7D0" w14:textId="77777777" w:rsidR="00014EC1" w:rsidRDefault="00014EC1" w:rsidP="00014EC1"/>
          <w:p w14:paraId="4C0A96E1" w14:textId="77777777" w:rsidR="00014EC1" w:rsidRDefault="00014EC1" w:rsidP="00014EC1"/>
          <w:p w14:paraId="4D4B1A5E" w14:textId="77777777" w:rsidR="00014EC1" w:rsidRDefault="00014EC1" w:rsidP="00014EC1">
            <w:r>
              <w:t>Complete the review and refresh of the Violence and Aggression from Patients and Service Users and Withholding Treatment Policy, ensuring a focus on supporting staff experiencing discrimination and hate crime and how to report it</w:t>
            </w:r>
          </w:p>
          <w:p w14:paraId="553F5FD0" w14:textId="77777777" w:rsidR="00014EC1" w:rsidRDefault="00014EC1" w:rsidP="00014EC1"/>
          <w:p w14:paraId="7B4B9C54" w14:textId="77777777" w:rsidR="00014EC1" w:rsidRDefault="00014EC1" w:rsidP="00014EC1">
            <w:r>
              <w:t>Implement the refreshed Violence and Aggression etc Policy and ensure that training is provided to all staff and communicated to patients and service users</w:t>
            </w:r>
          </w:p>
          <w:p w14:paraId="1EB946B1" w14:textId="77777777" w:rsidR="00014EC1" w:rsidRDefault="00014EC1" w:rsidP="00014EC1"/>
          <w:p w14:paraId="44D9B7A9" w14:textId="77777777" w:rsidR="00014EC1" w:rsidRDefault="00014EC1" w:rsidP="00014EC1">
            <w:r>
              <w:t>Continue to promote the role of the Trust’s Freedom to Speak Up (FTSU) Guardians and Advocates</w:t>
            </w:r>
          </w:p>
          <w:p w14:paraId="6F67B38C" w14:textId="77777777" w:rsidR="00014EC1" w:rsidRDefault="00014EC1" w:rsidP="00014EC1"/>
          <w:p w14:paraId="3735D0EA" w14:textId="77777777" w:rsidR="00014EC1" w:rsidRDefault="00014EC1" w:rsidP="00014EC1">
            <w:r>
              <w:t>Review and Refresh the Acceptable Behaviour at Work Policy and ensure it takes a more proactive and informal approach to resolving concerns</w:t>
            </w:r>
          </w:p>
          <w:p w14:paraId="785FE3F0" w14:textId="4160BCBF" w:rsidR="002611E2" w:rsidRPr="005433CE" w:rsidRDefault="002611E2" w:rsidP="00014EC1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58D" w14:textId="77777777" w:rsidR="00014EC1" w:rsidRDefault="00014EC1" w:rsidP="00014EC1"/>
          <w:p w14:paraId="6A1C9355" w14:textId="77777777" w:rsidR="00014EC1" w:rsidRDefault="00014EC1" w:rsidP="00014EC1"/>
          <w:p w14:paraId="654D1E29" w14:textId="77777777" w:rsidR="00014EC1" w:rsidRDefault="00014EC1" w:rsidP="00014EC1"/>
          <w:p w14:paraId="5A8AF584" w14:textId="77777777" w:rsidR="00014EC1" w:rsidRDefault="00014EC1" w:rsidP="00014EC1">
            <w:r>
              <w:t>Improves engagement with, and confidence of, staff with disabilities; improves staff experience</w:t>
            </w:r>
          </w:p>
          <w:p w14:paraId="1FF9B501" w14:textId="52AEF9FD" w:rsidR="00014EC1" w:rsidRDefault="00014EC1" w:rsidP="00014EC1"/>
          <w:p w14:paraId="1DB93335" w14:textId="64EE38FD" w:rsidR="002611E2" w:rsidRDefault="002611E2" w:rsidP="00014EC1"/>
          <w:p w14:paraId="220D3FB8" w14:textId="71522858" w:rsidR="002611E2" w:rsidRDefault="002611E2" w:rsidP="00014EC1"/>
          <w:p w14:paraId="77E2A224" w14:textId="4C7327C1" w:rsidR="002611E2" w:rsidRDefault="002611E2" w:rsidP="00014EC1"/>
          <w:p w14:paraId="78C8E782" w14:textId="77777777" w:rsidR="002611E2" w:rsidRDefault="002611E2" w:rsidP="00014EC1"/>
          <w:p w14:paraId="49A197FE" w14:textId="77777777" w:rsidR="00014EC1" w:rsidRDefault="00014EC1" w:rsidP="00014EC1">
            <w:r>
              <w:t>Improves the safety of staff; improves staff experience</w:t>
            </w:r>
          </w:p>
          <w:p w14:paraId="5750C0B1" w14:textId="77777777" w:rsidR="00014EC1" w:rsidRDefault="00014EC1" w:rsidP="00014EC1"/>
          <w:p w14:paraId="4FFD22D6" w14:textId="77777777" w:rsidR="00014EC1" w:rsidRDefault="00014EC1" w:rsidP="00014EC1"/>
          <w:p w14:paraId="2B085160" w14:textId="77777777" w:rsidR="00014EC1" w:rsidRDefault="00014EC1" w:rsidP="00014EC1">
            <w:r>
              <w:t>Improves the safety of staff and patients; improves staff and patient experience</w:t>
            </w:r>
          </w:p>
          <w:p w14:paraId="79268EF6" w14:textId="77777777" w:rsidR="00014EC1" w:rsidRDefault="00014EC1" w:rsidP="00014EC1"/>
          <w:p w14:paraId="6AD33DAA" w14:textId="77777777" w:rsidR="00014EC1" w:rsidRDefault="00014EC1" w:rsidP="00014EC1">
            <w:r>
              <w:t>Ensures staff with disabilities feel able to raise concerns, and feel safe and supported at work</w:t>
            </w:r>
          </w:p>
          <w:p w14:paraId="44F18BA8" w14:textId="269C7F92" w:rsidR="00014EC1" w:rsidRDefault="00014EC1" w:rsidP="00014EC1"/>
          <w:p w14:paraId="5CD6C05B" w14:textId="359E455E" w:rsidR="002611E2" w:rsidRDefault="002611E2" w:rsidP="00014EC1"/>
          <w:p w14:paraId="13D7E69E" w14:textId="5CB6E91A" w:rsidR="002611E2" w:rsidRDefault="002611E2" w:rsidP="00014EC1"/>
          <w:p w14:paraId="70198301" w14:textId="77777777" w:rsidR="002611E2" w:rsidRDefault="002611E2" w:rsidP="00014EC1"/>
          <w:p w14:paraId="01879143" w14:textId="77777777" w:rsidR="00014EC1" w:rsidRDefault="00014EC1" w:rsidP="00014EC1">
            <w:r>
              <w:t>As above</w:t>
            </w:r>
          </w:p>
          <w:p w14:paraId="48DC7A07" w14:textId="77777777" w:rsidR="00014EC1" w:rsidRDefault="00014EC1" w:rsidP="00014EC1"/>
          <w:p w14:paraId="4D422B58" w14:textId="77777777" w:rsidR="00014EC1" w:rsidRPr="005433CE" w:rsidRDefault="00014EC1" w:rsidP="00014EC1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3D" w14:textId="77777777" w:rsidR="00014EC1" w:rsidRDefault="00014EC1" w:rsidP="00014EC1"/>
          <w:p w14:paraId="6B6CFF0E" w14:textId="77777777" w:rsidR="00014EC1" w:rsidRDefault="00014EC1" w:rsidP="00014EC1"/>
          <w:p w14:paraId="4F81AB81" w14:textId="3BD6889C" w:rsidR="00014EC1" w:rsidRDefault="00014EC1" w:rsidP="00014EC1"/>
          <w:p w14:paraId="30439121" w14:textId="2B236B44" w:rsidR="002611E2" w:rsidRDefault="002611E2" w:rsidP="00014EC1"/>
          <w:p w14:paraId="08D6E619" w14:textId="1F8391E0" w:rsidR="002611E2" w:rsidRDefault="002611E2" w:rsidP="00014EC1"/>
          <w:p w14:paraId="157FEEDB" w14:textId="77777777" w:rsidR="002611E2" w:rsidRDefault="002611E2" w:rsidP="00014EC1"/>
          <w:p w14:paraId="3C9D5199" w14:textId="77777777" w:rsidR="00014EC1" w:rsidRDefault="00014EC1" w:rsidP="00014EC1">
            <w:r>
              <w:t xml:space="preserve">Ongoing </w:t>
            </w:r>
          </w:p>
          <w:p w14:paraId="7A503D56" w14:textId="77777777" w:rsidR="00014EC1" w:rsidRDefault="00014EC1" w:rsidP="00014EC1"/>
          <w:p w14:paraId="734DF583" w14:textId="77777777" w:rsidR="00014EC1" w:rsidRDefault="00014EC1" w:rsidP="00014EC1"/>
          <w:p w14:paraId="10D0AABD" w14:textId="77777777" w:rsidR="00014EC1" w:rsidRDefault="00014EC1" w:rsidP="00014EC1"/>
          <w:p w14:paraId="3032C9C9" w14:textId="4E66629B" w:rsidR="00014EC1" w:rsidRDefault="00014EC1" w:rsidP="00014EC1"/>
          <w:p w14:paraId="4AA93168" w14:textId="77777777" w:rsidR="002611E2" w:rsidRDefault="002611E2" w:rsidP="00014EC1"/>
          <w:p w14:paraId="2773F58B" w14:textId="77777777" w:rsidR="00014EC1" w:rsidRDefault="00014EC1" w:rsidP="00014EC1">
            <w:r>
              <w:t>January 2022 and in progress</w:t>
            </w:r>
          </w:p>
          <w:p w14:paraId="269FA0F3" w14:textId="77777777" w:rsidR="00014EC1" w:rsidRDefault="00014EC1" w:rsidP="00014EC1"/>
          <w:p w14:paraId="54EE60BE" w14:textId="77777777" w:rsidR="00014EC1" w:rsidRDefault="00014EC1" w:rsidP="00014EC1"/>
          <w:p w14:paraId="58024A64" w14:textId="77777777" w:rsidR="00014EC1" w:rsidRDefault="00014EC1" w:rsidP="00014EC1"/>
          <w:p w14:paraId="19B641AA" w14:textId="77777777" w:rsidR="00014EC1" w:rsidRDefault="00014EC1" w:rsidP="00014EC1">
            <w:r>
              <w:t xml:space="preserve">January 2022 and ongoing </w:t>
            </w:r>
          </w:p>
          <w:p w14:paraId="0001C9DD" w14:textId="77777777" w:rsidR="00014EC1" w:rsidRDefault="00014EC1" w:rsidP="00014EC1"/>
          <w:p w14:paraId="5FA9D21D" w14:textId="77777777" w:rsidR="00014EC1" w:rsidRDefault="00014EC1" w:rsidP="00014EC1"/>
          <w:p w14:paraId="10EE9089" w14:textId="77777777" w:rsidR="00014EC1" w:rsidRDefault="00014EC1" w:rsidP="00014EC1"/>
          <w:p w14:paraId="2B2B8B9F" w14:textId="77777777" w:rsidR="00014EC1" w:rsidRDefault="00014EC1" w:rsidP="00014EC1">
            <w:r>
              <w:t>Ongoing</w:t>
            </w:r>
          </w:p>
          <w:p w14:paraId="409820EA" w14:textId="77777777" w:rsidR="00014EC1" w:rsidRDefault="00014EC1" w:rsidP="00014EC1"/>
          <w:p w14:paraId="273375CB" w14:textId="1DC3A12C" w:rsidR="00014EC1" w:rsidRDefault="00014EC1" w:rsidP="00014EC1"/>
          <w:p w14:paraId="750AC65C" w14:textId="77777777" w:rsidR="002611E2" w:rsidRDefault="002611E2" w:rsidP="00014EC1"/>
          <w:p w14:paraId="7C3ABCD7" w14:textId="77777777" w:rsidR="00014EC1" w:rsidRPr="005433CE" w:rsidRDefault="00014EC1" w:rsidP="00014EC1">
            <w:r>
              <w:t>March 2022 and in progress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AF9" w14:textId="77777777" w:rsidR="00014EC1" w:rsidRDefault="00014EC1" w:rsidP="00014EC1"/>
          <w:p w14:paraId="5CBF70DC" w14:textId="77777777" w:rsidR="00014EC1" w:rsidRDefault="00014EC1" w:rsidP="00014EC1"/>
          <w:p w14:paraId="3759923F" w14:textId="67FB0F0A" w:rsidR="00014EC1" w:rsidRDefault="00014EC1" w:rsidP="00014EC1"/>
          <w:p w14:paraId="257CD76A" w14:textId="77777777" w:rsidR="002611E2" w:rsidRDefault="002611E2" w:rsidP="00014EC1"/>
          <w:p w14:paraId="160B830B" w14:textId="77777777" w:rsidR="002611E2" w:rsidRDefault="002611E2" w:rsidP="00014EC1"/>
          <w:p w14:paraId="024C4B10" w14:textId="622AEA15" w:rsidR="00014EC1" w:rsidRDefault="00014EC1" w:rsidP="00014EC1">
            <w:r>
              <w:t>HR / ODD EDI / Staff Side and Chair of S</w:t>
            </w:r>
            <w:r w:rsidR="00B62AA6">
              <w:t>TH</w:t>
            </w:r>
            <w:r>
              <w:t>Ability</w:t>
            </w:r>
          </w:p>
          <w:p w14:paraId="43E865ED" w14:textId="77777777" w:rsidR="00014EC1" w:rsidRDefault="00014EC1" w:rsidP="00014EC1"/>
          <w:p w14:paraId="459B0905" w14:textId="57D948AF" w:rsidR="00014EC1" w:rsidRDefault="00014EC1" w:rsidP="00014EC1"/>
          <w:p w14:paraId="45C63C9D" w14:textId="6110211C" w:rsidR="002611E2" w:rsidRDefault="002611E2" w:rsidP="00014EC1"/>
          <w:p w14:paraId="42D3135A" w14:textId="369A37EA" w:rsidR="002611E2" w:rsidRDefault="002611E2" w:rsidP="00014EC1"/>
          <w:p w14:paraId="555FEC24" w14:textId="5BF2FCA4" w:rsidR="002611E2" w:rsidRDefault="002611E2" w:rsidP="00014EC1"/>
          <w:p w14:paraId="67B5E014" w14:textId="77777777" w:rsidR="00014EC1" w:rsidRDefault="00014EC1" w:rsidP="00014EC1"/>
          <w:p w14:paraId="4762423F" w14:textId="77777777" w:rsidR="00014EC1" w:rsidRDefault="00014EC1" w:rsidP="00014EC1">
            <w:r>
              <w:t xml:space="preserve">Patient Safety Team </w:t>
            </w:r>
          </w:p>
          <w:p w14:paraId="1F9442B4" w14:textId="77777777" w:rsidR="00014EC1" w:rsidRDefault="00014EC1" w:rsidP="00014EC1"/>
          <w:p w14:paraId="15CFC8BD" w14:textId="77777777" w:rsidR="00014EC1" w:rsidRDefault="00014EC1" w:rsidP="00014EC1"/>
          <w:p w14:paraId="5F54A9DD" w14:textId="77777777" w:rsidR="00014EC1" w:rsidRDefault="00014EC1" w:rsidP="00014EC1"/>
          <w:p w14:paraId="4E056DC2" w14:textId="77777777" w:rsidR="00014EC1" w:rsidRDefault="00014EC1" w:rsidP="00014EC1"/>
          <w:p w14:paraId="2A969A3E" w14:textId="77777777" w:rsidR="00014EC1" w:rsidRDefault="00014EC1" w:rsidP="00014EC1">
            <w:r>
              <w:t xml:space="preserve">Patient Safety Team </w:t>
            </w:r>
          </w:p>
          <w:p w14:paraId="6EA7F9BD" w14:textId="77777777" w:rsidR="00014EC1" w:rsidRDefault="00014EC1" w:rsidP="00014EC1"/>
          <w:p w14:paraId="3D24B0DC" w14:textId="77777777" w:rsidR="00014EC1" w:rsidRDefault="00014EC1" w:rsidP="00014EC1"/>
          <w:p w14:paraId="43A1C2A9" w14:textId="77777777" w:rsidR="00014EC1" w:rsidRDefault="00014EC1" w:rsidP="00014EC1"/>
          <w:p w14:paraId="66AC9CAA" w14:textId="77777777" w:rsidR="00014EC1" w:rsidRDefault="00014EC1" w:rsidP="00014EC1">
            <w:r>
              <w:t>HR Business Partner Lead for FTSU/Comms Team</w:t>
            </w:r>
          </w:p>
          <w:p w14:paraId="07031ED9" w14:textId="77777777" w:rsidR="00014EC1" w:rsidRDefault="00014EC1" w:rsidP="00014EC1"/>
          <w:p w14:paraId="1DC30C54" w14:textId="77777777" w:rsidR="00014EC1" w:rsidRDefault="00014EC1" w:rsidP="00014EC1"/>
          <w:p w14:paraId="5EBCAD68" w14:textId="77777777" w:rsidR="00014EC1" w:rsidRDefault="00014EC1" w:rsidP="00014EC1"/>
          <w:p w14:paraId="07556625" w14:textId="77777777" w:rsidR="00014EC1" w:rsidRPr="005433CE" w:rsidRDefault="00014EC1" w:rsidP="00014EC1">
            <w:r>
              <w:t xml:space="preserve">Head of Operational HR </w:t>
            </w:r>
          </w:p>
        </w:tc>
      </w:tr>
      <w:tr w:rsidR="00014EC1" w:rsidRPr="005433CE" w14:paraId="17243D80" w14:textId="77777777" w:rsidTr="00014EC1">
        <w:trPr>
          <w:trHeight w:val="182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DA3" w14:textId="77777777" w:rsidR="00014EC1" w:rsidRDefault="00014EC1" w:rsidP="00014EC1">
            <w:pPr>
              <w:rPr>
                <w:bCs/>
              </w:rPr>
            </w:pPr>
            <w:bookmarkStart w:id="5" w:name="_Hlk118368605"/>
            <w:bookmarkEnd w:id="4"/>
          </w:p>
          <w:p w14:paraId="7E144EAB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Metric 9 – Staff engagement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8C2" w14:textId="77777777" w:rsidR="00014EC1" w:rsidRDefault="00014EC1" w:rsidP="00014EC1"/>
          <w:p w14:paraId="5F605761" w14:textId="77777777" w:rsidR="00014EC1" w:rsidRPr="006E793F" w:rsidRDefault="00014EC1" w:rsidP="00014EC1">
            <w:r w:rsidRPr="006E793F">
              <w:t>We will:</w:t>
            </w:r>
          </w:p>
          <w:p w14:paraId="0E051CA7" w14:textId="77777777" w:rsidR="00014EC1" w:rsidRPr="006E793F" w:rsidRDefault="00014EC1" w:rsidP="00014EC1"/>
          <w:p w14:paraId="7FA17ABB" w14:textId="6EFC0D5D" w:rsidR="00014EC1" w:rsidRDefault="00014EC1" w:rsidP="00014EC1">
            <w:r w:rsidRPr="006E793F">
              <w:t>Continue to provi</w:t>
            </w:r>
            <w:r>
              <w:t>de support and guidance to the S</w:t>
            </w:r>
            <w:r w:rsidR="002611E2">
              <w:t>TH</w:t>
            </w:r>
            <w:r>
              <w:t>Ability Staff Network Group, including the provision of protected time for the core roles, and ensure the Network is included in relevant decision making</w:t>
            </w:r>
          </w:p>
          <w:p w14:paraId="7528E22B" w14:textId="3968AC29" w:rsidR="002611E2" w:rsidRPr="006E793F" w:rsidRDefault="002611E2" w:rsidP="00014EC1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1F8" w14:textId="77777777" w:rsidR="00014EC1" w:rsidRDefault="00014EC1" w:rsidP="00014EC1"/>
          <w:p w14:paraId="1EE1A4CC" w14:textId="77777777" w:rsidR="00014EC1" w:rsidRDefault="00014EC1" w:rsidP="00014EC1"/>
          <w:p w14:paraId="517BE772" w14:textId="77777777" w:rsidR="00014EC1" w:rsidRDefault="00014EC1" w:rsidP="00014EC1"/>
          <w:p w14:paraId="196AE93E" w14:textId="77777777" w:rsidR="00014EC1" w:rsidRPr="006E793F" w:rsidRDefault="00014EC1" w:rsidP="00014EC1">
            <w:r>
              <w:t>Ensures the staff network group grows from strength to strength and that staff with a disability or long-term condition have a voice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76C" w14:textId="77777777" w:rsidR="00014EC1" w:rsidRDefault="00014EC1" w:rsidP="00014EC1"/>
          <w:p w14:paraId="705DA10A" w14:textId="77777777" w:rsidR="00014EC1" w:rsidRDefault="00014EC1" w:rsidP="00014EC1"/>
          <w:p w14:paraId="52F7EF6C" w14:textId="5699943B" w:rsidR="00014EC1" w:rsidRDefault="00014EC1" w:rsidP="00014EC1"/>
          <w:p w14:paraId="5CD8878E" w14:textId="79D5308B" w:rsidR="002611E2" w:rsidRDefault="002611E2" w:rsidP="00014EC1"/>
          <w:p w14:paraId="02B43C29" w14:textId="5774A784" w:rsidR="002611E2" w:rsidRDefault="002611E2" w:rsidP="00014EC1"/>
          <w:p w14:paraId="314B5CC1" w14:textId="77777777" w:rsidR="002611E2" w:rsidRDefault="002611E2" w:rsidP="00014EC1"/>
          <w:p w14:paraId="0CA8E691" w14:textId="77777777" w:rsidR="00014EC1" w:rsidRPr="006E793F" w:rsidRDefault="00014EC1" w:rsidP="00014EC1">
            <w:r>
              <w:t xml:space="preserve">Ongoing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478" w14:textId="77777777" w:rsidR="00014EC1" w:rsidRDefault="00014EC1" w:rsidP="00014EC1"/>
          <w:p w14:paraId="5092477C" w14:textId="77777777" w:rsidR="00014EC1" w:rsidRDefault="00014EC1" w:rsidP="00014EC1"/>
          <w:p w14:paraId="16CD3C5D" w14:textId="333234E0" w:rsidR="00014EC1" w:rsidRDefault="00014EC1" w:rsidP="00014EC1"/>
          <w:p w14:paraId="28234A45" w14:textId="6CE50B2F" w:rsidR="002611E2" w:rsidRDefault="002611E2" w:rsidP="00014EC1"/>
          <w:p w14:paraId="29EB0D46" w14:textId="3969125E" w:rsidR="002611E2" w:rsidRDefault="002611E2" w:rsidP="00014EC1"/>
          <w:p w14:paraId="0EF2751F" w14:textId="77777777" w:rsidR="002611E2" w:rsidRDefault="002611E2" w:rsidP="00014EC1"/>
          <w:p w14:paraId="5A9166DE" w14:textId="77777777" w:rsidR="00014EC1" w:rsidRPr="006E793F" w:rsidRDefault="00014EC1" w:rsidP="00014EC1">
            <w:r>
              <w:t>ODD EDI</w:t>
            </w:r>
          </w:p>
        </w:tc>
      </w:tr>
      <w:tr w:rsidR="00014EC1" w:rsidRPr="005433CE" w14:paraId="3F59DB65" w14:textId="77777777" w:rsidTr="00014EC1">
        <w:trPr>
          <w:trHeight w:val="342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BB9" w14:textId="77777777" w:rsidR="00014EC1" w:rsidRDefault="00014EC1" w:rsidP="00014EC1">
            <w:pPr>
              <w:rPr>
                <w:bCs/>
              </w:rPr>
            </w:pPr>
            <w:bookmarkStart w:id="6" w:name="_Hlk118368616"/>
            <w:bookmarkEnd w:id="5"/>
          </w:p>
          <w:p w14:paraId="20C6A933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 xml:space="preserve">Metric 10 - </w:t>
            </w:r>
          </w:p>
          <w:p w14:paraId="0055E013" w14:textId="77777777" w:rsidR="00014EC1" w:rsidRPr="005433CE" w:rsidRDefault="00014EC1" w:rsidP="00014EC1">
            <w:pPr>
              <w:rPr>
                <w:bCs/>
              </w:rPr>
            </w:pPr>
            <w:r w:rsidRPr="005433CE">
              <w:rPr>
                <w:bCs/>
              </w:rPr>
              <w:t>Board representation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482" w14:textId="77777777" w:rsidR="00014EC1" w:rsidRDefault="00014EC1" w:rsidP="00014EC1"/>
          <w:p w14:paraId="0728447F" w14:textId="77777777" w:rsidR="00014EC1" w:rsidRDefault="00014EC1" w:rsidP="00014EC1">
            <w:r>
              <w:t>We will:</w:t>
            </w:r>
          </w:p>
          <w:p w14:paraId="2ED861FA" w14:textId="77777777" w:rsidR="00014EC1" w:rsidRDefault="00014EC1" w:rsidP="00014EC1"/>
          <w:p w14:paraId="3E33833F" w14:textId="77777777" w:rsidR="00014EC1" w:rsidRDefault="00014EC1" w:rsidP="00014EC1">
            <w:r>
              <w:t>Ensure that the recruitment process for Non-Executive Board Members is inclusive and focusses on representing the communities served by the Trust</w:t>
            </w:r>
          </w:p>
          <w:p w14:paraId="593ED00B" w14:textId="77777777" w:rsidR="00014EC1" w:rsidRDefault="00014EC1" w:rsidP="00014EC1"/>
          <w:p w14:paraId="59C00CC3" w14:textId="77777777" w:rsidR="00014EC1" w:rsidRDefault="00014EC1" w:rsidP="00014EC1"/>
          <w:p w14:paraId="37B67BB8" w14:textId="77777777" w:rsidR="00014EC1" w:rsidRDefault="00014EC1" w:rsidP="00014EC1">
            <w:r>
              <w:t>Ensure the recruitment process for Governors is inclusive and focusses on representing the communities served by the Trust</w:t>
            </w:r>
          </w:p>
          <w:p w14:paraId="6EB50461" w14:textId="77777777" w:rsidR="00014EC1" w:rsidRDefault="00014EC1" w:rsidP="00014EC1"/>
          <w:p w14:paraId="3175E278" w14:textId="77777777" w:rsidR="00014EC1" w:rsidRPr="006E793F" w:rsidRDefault="00014EC1" w:rsidP="00014EC1">
            <w:r>
              <w:t>Provide EDI training to Non-Executive and Executive Directors, TEG members and Governors (including Freedom to Speak Up modules)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85C" w14:textId="77777777" w:rsidR="00014EC1" w:rsidRDefault="00014EC1" w:rsidP="00014EC1"/>
          <w:p w14:paraId="00E1EED5" w14:textId="77777777" w:rsidR="00014EC1" w:rsidRDefault="00014EC1" w:rsidP="00014EC1"/>
          <w:p w14:paraId="769417B3" w14:textId="77777777" w:rsidR="00014EC1" w:rsidRDefault="00014EC1" w:rsidP="00014EC1"/>
          <w:p w14:paraId="2A5E2252" w14:textId="77777777" w:rsidR="00014EC1" w:rsidRDefault="00014EC1" w:rsidP="00014EC1">
            <w:r>
              <w:t>Ensures that people with disabilities have access to roles that offer them the opportunity for representation in strategic decision making</w:t>
            </w:r>
          </w:p>
          <w:p w14:paraId="78575F34" w14:textId="0B9C864C" w:rsidR="00014EC1" w:rsidRDefault="00014EC1" w:rsidP="00014EC1"/>
          <w:p w14:paraId="0ED8D593" w14:textId="2F861237" w:rsidR="002611E2" w:rsidRDefault="002611E2" w:rsidP="00014EC1"/>
          <w:p w14:paraId="45758918" w14:textId="77777777" w:rsidR="002611E2" w:rsidRDefault="002611E2" w:rsidP="00014EC1"/>
          <w:p w14:paraId="4AEC4FAB" w14:textId="77777777" w:rsidR="00014EC1" w:rsidRDefault="00014EC1" w:rsidP="00014EC1">
            <w:r>
              <w:t>As above</w:t>
            </w:r>
          </w:p>
          <w:p w14:paraId="66B91DAC" w14:textId="77777777" w:rsidR="00014EC1" w:rsidRDefault="00014EC1" w:rsidP="00014EC1"/>
          <w:p w14:paraId="2CD81654" w14:textId="77777777" w:rsidR="00014EC1" w:rsidRDefault="00014EC1" w:rsidP="00014EC1"/>
          <w:p w14:paraId="78DD630A" w14:textId="77777777" w:rsidR="00014EC1" w:rsidRPr="006E793F" w:rsidRDefault="00014EC1" w:rsidP="00014EC1">
            <w:r>
              <w:t xml:space="preserve">Improves knowledge and expertise, and upskills senior leaders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E42" w14:textId="77777777" w:rsidR="00014EC1" w:rsidRDefault="00014EC1" w:rsidP="00014EC1"/>
          <w:p w14:paraId="4785EBE8" w14:textId="77777777" w:rsidR="00014EC1" w:rsidRDefault="00014EC1" w:rsidP="00014EC1"/>
          <w:p w14:paraId="77B80CA1" w14:textId="0683D8FE" w:rsidR="00014EC1" w:rsidRDefault="00014EC1" w:rsidP="00014EC1"/>
          <w:p w14:paraId="0B283AA1" w14:textId="215DE85D" w:rsidR="002611E2" w:rsidRDefault="002611E2" w:rsidP="00014EC1"/>
          <w:p w14:paraId="2AA80244" w14:textId="77777777" w:rsidR="002611E2" w:rsidRDefault="002611E2" w:rsidP="00014EC1"/>
          <w:p w14:paraId="6AC96529" w14:textId="77777777" w:rsidR="00014EC1" w:rsidRDefault="00014EC1" w:rsidP="00014EC1">
            <w:r>
              <w:t xml:space="preserve">September 22 and ongoing </w:t>
            </w:r>
          </w:p>
          <w:p w14:paraId="4B3ACCA8" w14:textId="77777777" w:rsidR="00014EC1" w:rsidRDefault="00014EC1" w:rsidP="00014EC1"/>
          <w:p w14:paraId="29CA1F20" w14:textId="77777777" w:rsidR="00014EC1" w:rsidRDefault="00014EC1" w:rsidP="00014EC1"/>
          <w:p w14:paraId="36E8E26E" w14:textId="77777777" w:rsidR="00014EC1" w:rsidRDefault="00014EC1" w:rsidP="00014EC1"/>
          <w:p w14:paraId="1F4377D2" w14:textId="77777777" w:rsidR="00014EC1" w:rsidRDefault="00014EC1" w:rsidP="00014EC1">
            <w:r>
              <w:t>September 22 and ongoing</w:t>
            </w:r>
          </w:p>
          <w:p w14:paraId="7A586F4E" w14:textId="77777777" w:rsidR="00014EC1" w:rsidRDefault="00014EC1" w:rsidP="00014EC1"/>
          <w:p w14:paraId="669224D6" w14:textId="77777777" w:rsidR="002611E2" w:rsidRDefault="002611E2" w:rsidP="00014EC1"/>
          <w:p w14:paraId="7163495F" w14:textId="77777777" w:rsidR="002611E2" w:rsidRDefault="002611E2" w:rsidP="00014EC1"/>
          <w:p w14:paraId="44B3184D" w14:textId="0F9C11CB" w:rsidR="00014EC1" w:rsidRPr="006E793F" w:rsidRDefault="00014EC1" w:rsidP="00014EC1">
            <w:r>
              <w:t>March 2022 and in progress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48C" w14:textId="77777777" w:rsidR="00014EC1" w:rsidRDefault="00014EC1" w:rsidP="00014EC1"/>
          <w:p w14:paraId="21F8F8C8" w14:textId="77777777" w:rsidR="00014EC1" w:rsidRDefault="00014EC1" w:rsidP="00014EC1"/>
          <w:p w14:paraId="676CD3CA" w14:textId="0A6BB350" w:rsidR="00014EC1" w:rsidRDefault="00014EC1" w:rsidP="00014EC1"/>
          <w:p w14:paraId="60CAB7E9" w14:textId="5BFE5A28" w:rsidR="002611E2" w:rsidRDefault="002611E2" w:rsidP="00014EC1"/>
          <w:p w14:paraId="47D59BAE" w14:textId="68C2324F" w:rsidR="002611E2" w:rsidRDefault="002611E2" w:rsidP="00014EC1"/>
          <w:p w14:paraId="7D10E134" w14:textId="77777777" w:rsidR="002611E2" w:rsidRDefault="002611E2" w:rsidP="00014EC1"/>
          <w:p w14:paraId="5505E2FE" w14:textId="77777777" w:rsidR="00014EC1" w:rsidRDefault="00014EC1" w:rsidP="00014EC1">
            <w:r>
              <w:t xml:space="preserve">Chief Executive’s Office </w:t>
            </w:r>
          </w:p>
          <w:p w14:paraId="5DE218B7" w14:textId="77777777" w:rsidR="00014EC1" w:rsidRDefault="00014EC1" w:rsidP="00014EC1"/>
          <w:p w14:paraId="45DB1AA4" w14:textId="77777777" w:rsidR="00014EC1" w:rsidRDefault="00014EC1" w:rsidP="00014EC1"/>
          <w:p w14:paraId="0199F094" w14:textId="77777777" w:rsidR="00014EC1" w:rsidRDefault="00014EC1" w:rsidP="00014EC1"/>
          <w:p w14:paraId="1E68AFDA" w14:textId="77777777" w:rsidR="00014EC1" w:rsidRDefault="00014EC1" w:rsidP="00014EC1"/>
          <w:p w14:paraId="312EFAA0" w14:textId="77777777" w:rsidR="00014EC1" w:rsidRDefault="00014EC1" w:rsidP="00014EC1">
            <w:r>
              <w:t xml:space="preserve">Chief Executive’s Office </w:t>
            </w:r>
          </w:p>
          <w:p w14:paraId="7251A5B3" w14:textId="77777777" w:rsidR="00014EC1" w:rsidRDefault="00014EC1" w:rsidP="00014EC1"/>
          <w:p w14:paraId="414EB6DB" w14:textId="0902BD4C" w:rsidR="00014EC1" w:rsidRDefault="00014EC1" w:rsidP="00014EC1"/>
          <w:p w14:paraId="4924C2C8" w14:textId="77777777" w:rsidR="002611E2" w:rsidRDefault="002611E2" w:rsidP="00014EC1"/>
          <w:p w14:paraId="03C9C44E" w14:textId="77777777" w:rsidR="00014EC1" w:rsidRDefault="00014EC1" w:rsidP="00014EC1"/>
          <w:p w14:paraId="25D08037" w14:textId="77777777" w:rsidR="00014EC1" w:rsidRDefault="00014EC1" w:rsidP="00014EC1">
            <w:r>
              <w:t>ODD EDI</w:t>
            </w:r>
          </w:p>
          <w:p w14:paraId="6E7CA885" w14:textId="22515903" w:rsidR="002611E2" w:rsidRPr="006E793F" w:rsidRDefault="002611E2" w:rsidP="00014EC1"/>
        </w:tc>
      </w:tr>
      <w:bookmarkEnd w:id="6"/>
    </w:tbl>
    <w:p w14:paraId="33A8E916" w14:textId="77777777" w:rsidR="0060324D" w:rsidRDefault="002611E2"/>
    <w:sectPr w:rsidR="0060324D" w:rsidSect="00014EC1">
      <w:headerReference w:type="default" r:id="rId7"/>
      <w:footerReference w:type="default" r:id="rId8"/>
      <w:pgSz w:w="16838" w:h="11906" w:orient="landscape"/>
      <w:pgMar w:top="1440" w:right="536" w:bottom="1440" w:left="56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739F" w14:textId="77777777" w:rsidR="00014EC1" w:rsidRDefault="00014EC1" w:rsidP="00014EC1">
      <w:r>
        <w:separator/>
      </w:r>
    </w:p>
  </w:endnote>
  <w:endnote w:type="continuationSeparator" w:id="0">
    <w:p w14:paraId="6D30708A" w14:textId="77777777" w:rsidR="00014EC1" w:rsidRDefault="00014EC1" w:rsidP="0001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8BE3" w14:textId="345F3B42" w:rsidR="00014EC1" w:rsidRDefault="00014EC1" w:rsidP="00014EC1">
    <w:pPr>
      <w:pStyle w:val="Footer"/>
      <w:tabs>
        <w:tab w:val="clear" w:pos="4513"/>
        <w:tab w:val="clear" w:pos="9026"/>
        <w:tab w:val="left" w:pos="26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2319" w14:textId="77777777" w:rsidR="00014EC1" w:rsidRDefault="00014EC1" w:rsidP="00014EC1">
      <w:r>
        <w:separator/>
      </w:r>
    </w:p>
  </w:footnote>
  <w:footnote w:type="continuationSeparator" w:id="0">
    <w:p w14:paraId="0DE504FE" w14:textId="77777777" w:rsidR="00014EC1" w:rsidRDefault="00014EC1" w:rsidP="0001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7E6" w14:textId="6CAAED79" w:rsidR="00014EC1" w:rsidRDefault="00014EC1">
    <w:pPr>
      <w:pStyle w:val="Header"/>
    </w:pPr>
    <w:r w:rsidRPr="00324F5F">
      <w:rPr>
        <w:noProof/>
      </w:rPr>
      <w:drawing>
        <wp:inline distT="0" distB="0" distL="0" distR="0" wp14:anchorId="4E9692FD" wp14:editId="0191D971">
          <wp:extent cx="1488489" cy="666750"/>
          <wp:effectExtent l="0" t="0" r="0" b="0"/>
          <wp:docPr id="52" name="Picture 52" descr="pr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2" descr="proud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40" cy="66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714329CC" wp14:editId="1D715F17">
          <wp:extent cx="2353310" cy="658495"/>
          <wp:effectExtent l="0" t="0" r="8890" b="8255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ED968" w14:textId="44A311E2" w:rsidR="00014EC1" w:rsidRDefault="00014EC1">
    <w:pPr>
      <w:pStyle w:val="Header"/>
    </w:pPr>
    <w:r>
      <w:rPr>
        <w:noProof/>
      </w:rPr>
      <w:drawing>
        <wp:inline distT="0" distB="0" distL="0" distR="0" wp14:anchorId="785F8155" wp14:editId="398E66CE">
          <wp:extent cx="1487805" cy="225425"/>
          <wp:effectExtent l="0" t="0" r="0" b="317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A90"/>
    <w:multiLevelType w:val="hybridMultilevel"/>
    <w:tmpl w:val="039C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C1"/>
    <w:rsid w:val="00014EC1"/>
    <w:rsid w:val="002611E2"/>
    <w:rsid w:val="0053325E"/>
    <w:rsid w:val="00B24D11"/>
    <w:rsid w:val="00B62AA6"/>
    <w:rsid w:val="00CC1502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D17CE"/>
  <w15:chartTrackingRefBased/>
  <w15:docId w15:val="{9A92D9C8-D254-4192-B485-44973A6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C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EC1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EC1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Sally (SHEFFIELD TEACHING HOSPITALS NHS FOUNDATION TRUST)</dc:creator>
  <cp:keywords/>
  <dc:description/>
  <cp:lastModifiedBy>EDWARDS, Sally (SHEFFIELD TEACHING HOSPITALS NHS FOUNDATION TRUST)</cp:lastModifiedBy>
  <cp:revision>4</cp:revision>
  <dcterms:created xsi:type="dcterms:W3CDTF">2022-11-03T11:54:00Z</dcterms:created>
  <dcterms:modified xsi:type="dcterms:W3CDTF">2022-11-03T11:57:00Z</dcterms:modified>
</cp:coreProperties>
</file>